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57D18">
      <w:pPr>
        <w:spacing w:line="560" w:lineRule="exact"/>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临涣煤矿</w:t>
      </w:r>
      <w:r>
        <w:rPr>
          <w:rFonts w:hint="eastAsia" w:ascii="黑体" w:hAnsi="黑体" w:eastAsia="黑体"/>
          <w:color w:val="auto"/>
          <w:sz w:val="36"/>
          <w:szCs w:val="36"/>
          <w:highlight w:val="none"/>
          <w:lang w:val="en-US" w:eastAsia="zh-CN"/>
        </w:rPr>
        <w:t>东部井、主井、副井主</w:t>
      </w:r>
      <w:r>
        <w:rPr>
          <w:rFonts w:hint="eastAsia" w:ascii="黑体" w:hAnsi="黑体" w:eastAsia="黑体"/>
          <w:color w:val="auto"/>
          <w:sz w:val="36"/>
          <w:szCs w:val="36"/>
          <w:highlight w:val="none"/>
        </w:rPr>
        <w:t>提升钢丝绳</w:t>
      </w:r>
    </w:p>
    <w:p w14:paraId="7341082A">
      <w:pPr>
        <w:spacing w:line="560" w:lineRule="exact"/>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招标技术规格书</w:t>
      </w:r>
    </w:p>
    <w:p w14:paraId="662D16F7">
      <w:pPr>
        <w:spacing w:line="560" w:lineRule="exact"/>
        <w:ind w:firstLine="643" w:firstLineChars="200"/>
        <w:rPr>
          <w:rFonts w:asciiTheme="majorEastAsia" w:hAnsiTheme="majorEastAsia" w:eastAsiaTheme="majorEastAsia"/>
          <w:b/>
          <w:color w:val="auto"/>
          <w:sz w:val="32"/>
          <w:szCs w:val="32"/>
          <w:highlight w:val="none"/>
        </w:rPr>
      </w:pPr>
    </w:p>
    <w:p w14:paraId="20E31E68">
      <w:pPr>
        <w:spacing w:line="560" w:lineRule="exact"/>
        <w:ind w:firstLine="640" w:firstLineChars="200"/>
        <w:rPr>
          <w:rFonts w:ascii="黑体" w:hAnsi="黑体" w:eastAsia="黑体" w:cs="Times New Roman"/>
          <w:bCs/>
          <w:color w:val="auto"/>
          <w:sz w:val="32"/>
          <w:szCs w:val="32"/>
          <w:highlight w:val="none"/>
        </w:rPr>
      </w:pPr>
      <w:r>
        <w:rPr>
          <w:rFonts w:hint="eastAsia" w:ascii="黑体" w:hAnsi="黑体" w:eastAsia="黑体" w:cs="Times New Roman"/>
          <w:bCs/>
          <w:color w:val="auto"/>
          <w:sz w:val="32"/>
          <w:szCs w:val="32"/>
          <w:highlight w:val="none"/>
        </w:rPr>
        <w:t>一、项目概况及招标范围</w:t>
      </w:r>
    </w:p>
    <w:p w14:paraId="44124C08">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highlight w:val="none"/>
        </w:rPr>
        <w:t>临涣煤矿</w:t>
      </w:r>
      <w:r>
        <w:rPr>
          <w:rFonts w:hint="eastAsia" w:ascii="仿宋_GB2312" w:hAnsi="宋体" w:eastAsia="仿宋_GB2312" w:cs="仿宋_GB2312"/>
          <w:color w:val="auto"/>
          <w:sz w:val="32"/>
          <w:szCs w:val="32"/>
          <w:highlight w:val="none"/>
          <w:lang w:val="en-US" w:eastAsia="zh-CN"/>
        </w:rPr>
        <w:t>提升系统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14:paraId="0F7351EF">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2.招标范围：22根Φ28.0mm镀锌三角股钢丝绳,共计44710.8kg。</w:t>
      </w:r>
    </w:p>
    <w:p w14:paraId="3C661939">
      <w:pPr>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详情见附表:</w:t>
      </w:r>
    </w:p>
    <w:tbl>
      <w:tblPr>
        <w:tblStyle w:val="8"/>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7"/>
        <w:gridCol w:w="2600"/>
        <w:gridCol w:w="4384"/>
      </w:tblGrid>
      <w:tr w14:paraId="1208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tcPr>
          <w:p w14:paraId="7D077814">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钢丝绳结构</w:t>
            </w:r>
          </w:p>
        </w:tc>
        <w:tc>
          <w:tcPr>
            <w:tcW w:w="2600" w:type="dxa"/>
          </w:tcPr>
          <w:p w14:paraId="610DF48A">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使用地点</w:t>
            </w:r>
          </w:p>
        </w:tc>
        <w:tc>
          <w:tcPr>
            <w:tcW w:w="4384" w:type="dxa"/>
            <w:shd w:val="clear" w:color="auto" w:fill="auto"/>
            <w:vAlign w:val="top"/>
          </w:tcPr>
          <w:p w14:paraId="4562780D">
            <w:pPr>
              <w:spacing w:line="560" w:lineRule="exact"/>
              <w:jc w:val="center"/>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vertAlign w:val="baseline"/>
                <w:lang w:val="en-US" w:eastAsia="zh-CN"/>
              </w:rPr>
              <w:t>采购数量</w:t>
            </w:r>
          </w:p>
        </w:tc>
      </w:tr>
      <w:tr w14:paraId="3C5F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vMerge w:val="restart"/>
            <w:vAlign w:val="center"/>
          </w:tcPr>
          <w:p w14:paraId="51E9AFE0">
            <w:pPr>
              <w:spacing w:line="560" w:lineRule="exact"/>
              <w:jc w:val="center"/>
              <w:rPr>
                <w:rFonts w:hint="eastAsia" w:ascii="仿宋_GB2312" w:hAnsi="宋体" w:eastAsia="仿宋_GB2312" w:cs="仿宋_GB2312"/>
                <w:color w:val="auto"/>
                <w:sz w:val="28"/>
                <w:szCs w:val="28"/>
                <w:highlight w:val="none"/>
                <w:vertAlign w:val="baseline"/>
              </w:rPr>
            </w:pPr>
            <w:r>
              <w:rPr>
                <w:rFonts w:hint="eastAsia" w:ascii="仿宋_GB2312" w:hAnsi="宋体" w:eastAsia="仿宋_GB2312" w:cs="仿宋_GB2312"/>
                <w:color w:val="auto"/>
                <w:sz w:val="28"/>
                <w:szCs w:val="28"/>
                <w:highlight w:val="none"/>
                <w:vertAlign w:val="baseline"/>
              </w:rPr>
              <w:t>6V×34</w:t>
            </w:r>
          </w:p>
        </w:tc>
        <w:tc>
          <w:tcPr>
            <w:tcW w:w="2600" w:type="dxa"/>
            <w:vAlign w:val="center"/>
          </w:tcPr>
          <w:p w14:paraId="6E8F1EFE">
            <w:pPr>
              <w:spacing w:line="560" w:lineRule="exact"/>
              <w:jc w:val="left"/>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东部井提升机</w:t>
            </w:r>
          </w:p>
        </w:tc>
        <w:tc>
          <w:tcPr>
            <w:tcW w:w="4384" w:type="dxa"/>
            <w:shd w:val="clear" w:color="auto" w:fill="auto"/>
            <w:vAlign w:val="center"/>
          </w:tcPr>
          <w:p w14:paraId="61F0EF4B">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w:t>
            </w:r>
            <w:r>
              <w:rPr>
                <w:rFonts w:hint="eastAsia" w:ascii="仿宋_GB2312" w:hAnsi="仿宋_GB2312" w:eastAsia="仿宋_GB2312" w:cs="仿宋_GB2312"/>
                <w:color w:val="auto"/>
                <w:sz w:val="28"/>
                <w:szCs w:val="28"/>
                <w:highlight w:val="none"/>
                <w:lang w:val="en-US" w:eastAsia="zh-CN"/>
              </w:rPr>
              <w:t>68</w:t>
            </w:r>
            <w:r>
              <w:rPr>
                <w:rFonts w:hint="eastAsia" w:ascii="仿宋_GB2312" w:hAnsi="仿宋_GB2312" w:eastAsia="仿宋_GB2312" w:cs="仿宋_GB2312"/>
                <w:color w:val="auto"/>
                <w:sz w:val="28"/>
                <w:szCs w:val="28"/>
                <w:highlight w:val="none"/>
              </w:rPr>
              <w:t>0</w:t>
            </w:r>
            <w:r>
              <w:rPr>
                <w:rFonts w:hint="eastAsia" w:ascii="仿宋_GB2312" w:hAnsi="仿宋_GB2312" w:eastAsia="仿宋_GB2312" w:cs="仿宋_GB2312"/>
                <w:color w:val="auto"/>
                <w:sz w:val="28"/>
                <w:szCs w:val="28"/>
                <w:highlight w:val="none"/>
                <w:lang w:val="en-US" w:eastAsia="zh-CN"/>
              </w:rPr>
              <w:t>m/根，</w:t>
            </w:r>
            <w:r>
              <w:rPr>
                <w:rFonts w:ascii="仿宋_GB2312" w:hAnsi="宋体" w:eastAsia="仿宋_GB2312" w:cs="仿宋_GB2312"/>
                <w:color w:val="auto"/>
                <w:sz w:val="28"/>
                <w:szCs w:val="28"/>
                <w:highlight w:val="none"/>
              </w:rPr>
              <w:t>8649.6</w:t>
            </w:r>
            <w:r>
              <w:rPr>
                <w:rFonts w:hint="eastAsia" w:ascii="仿宋_GB2312" w:hAnsi="宋体" w:eastAsia="仿宋_GB2312" w:cs="仿宋_GB2312"/>
                <w:color w:val="auto"/>
                <w:sz w:val="28"/>
                <w:szCs w:val="28"/>
                <w:highlight w:val="none"/>
              </w:rPr>
              <w:t>kg</w:t>
            </w:r>
          </w:p>
        </w:tc>
      </w:tr>
      <w:tr w14:paraId="4D37A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vMerge w:val="continue"/>
            <w:vAlign w:val="center"/>
          </w:tcPr>
          <w:p w14:paraId="7FC2C097">
            <w:pPr>
              <w:spacing w:line="560" w:lineRule="exact"/>
              <w:jc w:val="center"/>
              <w:rPr>
                <w:rFonts w:hint="eastAsia" w:ascii="仿宋_GB2312" w:hAnsi="宋体" w:eastAsia="仿宋_GB2312" w:cs="仿宋_GB2312"/>
                <w:color w:val="auto"/>
                <w:sz w:val="28"/>
                <w:szCs w:val="28"/>
                <w:highlight w:val="none"/>
                <w:vertAlign w:val="baseline"/>
              </w:rPr>
            </w:pPr>
          </w:p>
        </w:tc>
        <w:tc>
          <w:tcPr>
            <w:tcW w:w="2600" w:type="dxa"/>
            <w:vAlign w:val="center"/>
          </w:tcPr>
          <w:p w14:paraId="606456B5">
            <w:pPr>
              <w:spacing w:line="560" w:lineRule="exact"/>
              <w:jc w:val="left"/>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主井提升机</w:t>
            </w:r>
          </w:p>
        </w:tc>
        <w:tc>
          <w:tcPr>
            <w:tcW w:w="4384" w:type="dxa"/>
            <w:shd w:val="clear" w:color="auto" w:fill="auto"/>
            <w:vAlign w:val="center"/>
          </w:tcPr>
          <w:p w14:paraId="13936E9C">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1套（6根）</w:t>
            </w:r>
            <w:r>
              <w:rPr>
                <w:rFonts w:hint="eastAsia" w:ascii="仿宋_GB2312" w:hAnsi="宋体" w:eastAsia="仿宋_GB2312" w:cs="仿宋_GB2312"/>
                <w:color w:val="auto"/>
                <w:sz w:val="28"/>
                <w:szCs w:val="28"/>
                <w:highlight w:val="none"/>
                <w:vertAlign w:val="baseline"/>
                <w:lang w:val="en-US" w:eastAsia="zh-CN"/>
              </w:rPr>
              <w:t>，</w:t>
            </w:r>
            <w:r>
              <w:rPr>
                <w:rFonts w:ascii="仿宋_GB2312" w:hAnsi="宋体" w:eastAsia="仿宋_GB2312" w:cs="仿宋_GB2312"/>
                <w:color w:val="auto"/>
                <w:sz w:val="28"/>
                <w:szCs w:val="28"/>
                <w:highlight w:val="none"/>
              </w:rPr>
              <w:t>63</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/根，12</w:t>
            </w:r>
            <w:r>
              <w:rPr>
                <w:rFonts w:ascii="仿宋_GB2312" w:hAnsi="宋体" w:eastAsia="仿宋_GB2312" w:cs="仿宋_GB2312"/>
                <w:color w:val="auto"/>
                <w:sz w:val="28"/>
                <w:szCs w:val="28"/>
                <w:highlight w:val="none"/>
              </w:rPr>
              <w:t>0</w:t>
            </w:r>
            <w:r>
              <w:rPr>
                <w:rFonts w:hint="eastAsia" w:ascii="仿宋_GB2312" w:hAnsi="宋体" w:eastAsia="仿宋_GB2312" w:cs="仿宋_GB2312"/>
                <w:color w:val="auto"/>
                <w:sz w:val="28"/>
                <w:szCs w:val="28"/>
                <w:highlight w:val="none"/>
                <w:lang w:val="en-US" w:eastAsia="zh-CN"/>
              </w:rPr>
              <w:t>2</w:t>
            </w:r>
            <w:r>
              <w:rPr>
                <w:rFonts w:ascii="仿宋_GB2312" w:hAnsi="宋体" w:eastAsia="仿宋_GB2312" w:cs="仿宋_GB2312"/>
                <w:color w:val="auto"/>
                <w:sz w:val="28"/>
                <w:szCs w:val="28"/>
                <w:highlight w:val="none"/>
              </w:rPr>
              <w:t>0.</w:t>
            </w:r>
            <w:r>
              <w:rPr>
                <w:rFonts w:hint="eastAsia" w:ascii="仿宋_GB2312" w:hAnsi="宋体" w:eastAsia="仿宋_GB2312" w:cs="仿宋_GB2312"/>
                <w:color w:val="auto"/>
                <w:sz w:val="28"/>
                <w:szCs w:val="28"/>
                <w:highlight w:val="none"/>
                <w:lang w:val="en-US" w:eastAsia="zh-CN"/>
              </w:rPr>
              <w:t>4</w:t>
            </w:r>
            <w:r>
              <w:rPr>
                <w:rFonts w:hint="eastAsia" w:ascii="仿宋_GB2312" w:hAnsi="宋体" w:eastAsia="仿宋_GB2312" w:cs="仿宋_GB2312"/>
                <w:color w:val="auto"/>
                <w:sz w:val="28"/>
                <w:szCs w:val="28"/>
                <w:highlight w:val="none"/>
              </w:rPr>
              <w:t>kg</w:t>
            </w:r>
          </w:p>
        </w:tc>
      </w:tr>
      <w:tr w14:paraId="6220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dxa"/>
            <w:vMerge w:val="continue"/>
            <w:vAlign w:val="center"/>
          </w:tcPr>
          <w:p w14:paraId="0B4026DF">
            <w:pPr>
              <w:spacing w:line="560" w:lineRule="exact"/>
              <w:jc w:val="center"/>
              <w:rPr>
                <w:rFonts w:hint="eastAsia" w:ascii="仿宋_GB2312" w:hAnsi="宋体" w:eastAsia="仿宋_GB2312" w:cs="仿宋_GB2312"/>
                <w:color w:val="auto"/>
                <w:sz w:val="28"/>
                <w:szCs w:val="28"/>
                <w:highlight w:val="none"/>
                <w:vertAlign w:val="baseline"/>
              </w:rPr>
            </w:pPr>
          </w:p>
        </w:tc>
        <w:tc>
          <w:tcPr>
            <w:tcW w:w="2600" w:type="dxa"/>
            <w:shd w:val="clear" w:color="auto" w:fill="auto"/>
            <w:vAlign w:val="center"/>
          </w:tcPr>
          <w:p w14:paraId="60658A8C">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vertAlign w:val="baseline"/>
                <w:lang w:val="en-US" w:eastAsia="zh-CN"/>
              </w:rPr>
              <w:t>副井提升机</w:t>
            </w:r>
          </w:p>
        </w:tc>
        <w:tc>
          <w:tcPr>
            <w:tcW w:w="4384" w:type="dxa"/>
            <w:shd w:val="clear" w:color="auto" w:fill="auto"/>
            <w:vAlign w:val="center"/>
          </w:tcPr>
          <w:p w14:paraId="51F09E01">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2套（12根）</w:t>
            </w:r>
            <w:r>
              <w:rPr>
                <w:rFonts w:hint="eastAsia" w:ascii="仿宋_GB2312" w:hAnsi="宋体" w:eastAsia="仿宋_GB2312" w:cs="仿宋_GB2312"/>
                <w:color w:val="auto"/>
                <w:sz w:val="28"/>
                <w:szCs w:val="28"/>
                <w:highlight w:val="none"/>
                <w:vertAlign w:val="baseline"/>
                <w:lang w:val="en-US" w:eastAsia="zh-CN"/>
              </w:rPr>
              <w:t>，</w:t>
            </w:r>
            <w:r>
              <w:rPr>
                <w:rFonts w:ascii="仿宋_GB2312" w:hAnsi="宋体" w:eastAsia="仿宋_GB2312" w:cs="仿宋_GB2312"/>
                <w:color w:val="auto"/>
                <w:sz w:val="28"/>
                <w:szCs w:val="28"/>
                <w:highlight w:val="none"/>
              </w:rPr>
              <w:t>63</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/根，24040.8</w:t>
            </w:r>
            <w:r>
              <w:rPr>
                <w:rFonts w:hint="eastAsia" w:ascii="仿宋_GB2312" w:hAnsi="宋体" w:eastAsia="仿宋_GB2312" w:cs="仿宋_GB2312"/>
                <w:color w:val="auto"/>
                <w:sz w:val="28"/>
                <w:szCs w:val="28"/>
                <w:highlight w:val="none"/>
              </w:rPr>
              <w:t>kg</w:t>
            </w:r>
          </w:p>
        </w:tc>
      </w:tr>
      <w:tr w14:paraId="6486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7" w:type="dxa"/>
            <w:gridSpan w:val="2"/>
            <w:vAlign w:val="center"/>
          </w:tcPr>
          <w:p w14:paraId="72D59BC9">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共计</w:t>
            </w:r>
          </w:p>
        </w:tc>
        <w:tc>
          <w:tcPr>
            <w:tcW w:w="4384" w:type="dxa"/>
            <w:shd w:val="clear" w:color="auto" w:fill="auto"/>
            <w:vAlign w:val="center"/>
          </w:tcPr>
          <w:p w14:paraId="669A4BCA">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44710.8kg</w:t>
            </w:r>
          </w:p>
        </w:tc>
      </w:tr>
    </w:tbl>
    <w:p w14:paraId="0B7EEE8D">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14:paraId="1019CEFA">
      <w:pPr>
        <w:spacing w:line="560" w:lineRule="exact"/>
        <w:ind w:firstLine="640" w:firstLineChars="200"/>
        <w:rPr>
          <w:rFonts w:ascii="黑体" w:hAnsi="黑体" w:eastAsia="黑体" w:cs="Times New Roman"/>
          <w:bCs/>
          <w:color w:val="auto"/>
          <w:sz w:val="32"/>
          <w:szCs w:val="32"/>
          <w:highlight w:val="none"/>
        </w:rPr>
      </w:pPr>
      <w:r>
        <w:rPr>
          <w:rFonts w:hint="eastAsia" w:ascii="黑体" w:hAnsi="黑体" w:eastAsia="黑体" w:cs="Times New Roman"/>
          <w:bCs/>
          <w:color w:val="auto"/>
          <w:sz w:val="32"/>
          <w:szCs w:val="32"/>
          <w:highlight w:val="none"/>
        </w:rPr>
        <w:t>二、执行标准和规范</w:t>
      </w:r>
    </w:p>
    <w:p w14:paraId="6B0FF71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14:paraId="5227A7EA">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14:paraId="09010FBC">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14:paraId="6BB0276A">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14:paraId="2ADC37B6">
      <w:pPr>
        <w:spacing w:line="560" w:lineRule="exact"/>
        <w:ind w:firstLine="640" w:firstLineChars="200"/>
        <w:rPr>
          <w:rFonts w:ascii="黑体" w:hAnsi="黑体" w:eastAsia="黑体" w:cs="Times New Roman"/>
          <w:bCs/>
          <w:color w:val="auto"/>
          <w:sz w:val="32"/>
          <w:szCs w:val="32"/>
          <w:highlight w:val="none"/>
        </w:rPr>
      </w:pPr>
      <w:r>
        <w:rPr>
          <w:rFonts w:hint="eastAsia" w:ascii="黑体" w:hAnsi="黑体" w:eastAsia="黑体" w:cs="Times New Roman"/>
          <w:bCs/>
          <w:color w:val="auto"/>
          <w:sz w:val="32"/>
          <w:szCs w:val="32"/>
          <w:highlight w:val="none"/>
        </w:rPr>
        <w:t>三、主要技术参数及技术要求</w:t>
      </w:r>
    </w:p>
    <w:p w14:paraId="2EB37F47">
      <w:pPr>
        <w:spacing w:line="560" w:lineRule="exact"/>
        <w:ind w:firstLine="643" w:firstLineChars="200"/>
        <w:rPr>
          <w:rFonts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14:paraId="127FE221">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14:paraId="6691B264">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2.钢丝绳结构：</w:t>
      </w:r>
      <w:r>
        <w:rPr>
          <w:rFonts w:hint="eastAsia" w:ascii="仿宋_GB2312" w:hAnsi="宋体" w:eastAsia="仿宋_GB2312" w:cs="仿宋_GB2312"/>
          <w:color w:val="auto"/>
          <w:sz w:val="28"/>
          <w:szCs w:val="28"/>
          <w:highlight w:val="none"/>
          <w:vertAlign w:val="baseline"/>
        </w:rPr>
        <w:t>6V×34</w:t>
      </w:r>
      <w:r>
        <w:rPr>
          <w:rFonts w:hint="eastAsia" w:ascii="仿宋_GB2312" w:hAnsi="宋体" w:eastAsia="仿宋_GB2312" w:cs="仿宋_GB2312"/>
          <w:color w:val="auto"/>
          <w:sz w:val="28"/>
          <w:szCs w:val="28"/>
          <w:highlight w:val="none"/>
          <w:vertAlign w:val="baseline"/>
          <w:lang w:eastAsia="zh-CN"/>
        </w:rPr>
        <w:t>。</w:t>
      </w:r>
    </w:p>
    <w:p w14:paraId="3726892E">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.钢丝绳直径</w:t>
      </w:r>
      <w:r>
        <w:rPr>
          <w:rFonts w:hint="eastAsia" w:ascii="仿宋_GB2312" w:hAnsi="宋体" w:eastAsia="仿宋_GB2312" w:cs="仿宋_GB2312"/>
          <w:color w:val="auto"/>
          <w:sz w:val="32"/>
          <w:szCs w:val="32"/>
          <w:highlight w:val="none"/>
          <w:lang w:eastAsia="zh-CN"/>
        </w:rPr>
        <w:t>：</w:t>
      </w:r>
      <w:r>
        <w:rPr>
          <w:rFonts w:ascii="仿宋_GB2312" w:hAnsi="宋体" w:eastAsia="仿宋_GB2312" w:cs="仿宋_GB2312"/>
          <w:color w:val="auto"/>
          <w:sz w:val="32"/>
          <w:szCs w:val="32"/>
          <w:highlight w:val="none"/>
        </w:rPr>
        <w:t>28</w:t>
      </w:r>
      <w:r>
        <w:rPr>
          <w:rFonts w:hint="eastAsia" w:ascii="仿宋_GB2312" w:hAnsi="宋体" w:eastAsia="仿宋_GB2312" w:cs="仿宋_GB2312"/>
          <w:color w:val="auto"/>
          <w:sz w:val="32"/>
          <w:szCs w:val="32"/>
          <w:highlight w:val="none"/>
        </w:rPr>
        <w:t>.0mm。</w:t>
      </w:r>
    </w:p>
    <w:p w14:paraId="252854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4</w:t>
      </w:r>
      <w:r>
        <w:rPr>
          <w:rFonts w:hint="eastAsia" w:ascii="仿宋_GB2312" w:hAnsi="宋体"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钢丝绳长度：见招标范围附表。</w:t>
      </w:r>
    </w:p>
    <w:p w14:paraId="37738C4C">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.钢丝绳根数：</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根</w:t>
      </w:r>
      <w:r>
        <w:rPr>
          <w:rFonts w:hint="eastAsia" w:ascii="仿宋_GB2312" w:hAnsi="仿宋_GB2312" w:eastAsia="仿宋_GB2312" w:cs="仿宋_GB2312"/>
          <w:color w:val="auto"/>
          <w:sz w:val="32"/>
          <w:szCs w:val="32"/>
          <w:highlight w:val="none"/>
          <w:lang w:eastAsia="zh-CN"/>
        </w:rPr>
        <w:t>。</w:t>
      </w:r>
    </w:p>
    <w:p w14:paraId="39ED417F">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highlight w:val="none"/>
          <w:lang w:val="en-US" w:eastAsia="zh-CN"/>
        </w:rPr>
        <w:t>：3.18kg/m。</w:t>
      </w:r>
    </w:p>
    <w:p w14:paraId="5686CE4A">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各钢丝绳捻向在技术协议中规定</w:t>
      </w:r>
      <w:r>
        <w:rPr>
          <w:rFonts w:hint="eastAsia" w:ascii="仿宋_GB2312" w:hAnsi="宋体" w:eastAsia="仿宋_GB2312" w:cs="仿宋_GB2312"/>
          <w:color w:val="auto"/>
          <w:sz w:val="32"/>
          <w:szCs w:val="32"/>
          <w:highlight w:val="none"/>
        </w:rPr>
        <w:t>。</w:t>
      </w:r>
    </w:p>
    <w:p w14:paraId="2C174E76">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1770MPa。</w:t>
      </w:r>
    </w:p>
    <w:p w14:paraId="38965558">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9.钢丝绳破断拉力总和不得小于596kN。</w:t>
      </w:r>
    </w:p>
    <w:p w14:paraId="5D501F0F">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.镀锌：A级镀锌</w:t>
      </w:r>
      <w:r>
        <w:rPr>
          <w:rFonts w:hint="eastAsia" w:ascii="仿宋_GB2312" w:hAnsi="仿宋_GB2312" w:eastAsia="仿宋_GB2312" w:cs="仿宋_GB2312"/>
          <w:color w:val="auto"/>
          <w:sz w:val="32"/>
          <w:szCs w:val="32"/>
          <w:highlight w:val="none"/>
        </w:rPr>
        <w:t>。</w:t>
      </w:r>
    </w:p>
    <w:p w14:paraId="00E767BA">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14:paraId="1EBFC752">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bookmarkStart w:id="0" w:name="_GoBack"/>
      <w:bookmarkEnd w:id="0"/>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14:paraId="6CEA48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（二）技术要求</w:t>
      </w:r>
    </w:p>
    <w:p w14:paraId="5AA48AC0">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14:paraId="54D464CF">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highlight w:val="none"/>
          <w:lang w:val="en-US" w:eastAsia="zh-CN"/>
        </w:rPr>
        <w:t>在</w:t>
      </w:r>
      <w:r>
        <w:rPr>
          <w:rFonts w:hint="eastAsia" w:ascii="仿宋_GB2312" w:hAnsi="宋体" w:eastAsia="仿宋_GB2312" w:cs="仿宋_GB2312"/>
          <w:color w:val="auto"/>
          <w:sz w:val="32"/>
          <w:szCs w:val="32"/>
          <w:highlight w:val="none"/>
        </w:rPr>
        <w:t>正常使用情况</w:t>
      </w:r>
      <w:r>
        <w:rPr>
          <w:rFonts w:hint="eastAsia" w:ascii="仿宋_GB2312" w:hAnsi="宋体"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14:paraId="0242298C">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14:paraId="64422AB1">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4.镀锌钢丝绳的所有钢丝都应是镀锌，符合MT/T 716-2019 A级镀锌标准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14:paraId="5C41F894">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5.钢丝绳不得出现</w:t>
      </w:r>
      <w:r>
        <w:rPr>
          <w:rFonts w:hint="eastAsia" w:ascii="仿宋_GB2312" w:hAnsi="宋体" w:eastAsia="仿宋_GB2312" w:cs="仿宋_GB2312"/>
          <w:color w:val="auto"/>
          <w:sz w:val="32"/>
          <w:szCs w:val="32"/>
          <w:highlight w:val="none"/>
        </w:rPr>
        <w:t>MT</w:t>
      </w:r>
      <w:r>
        <w:rPr>
          <w:rFonts w:hint="eastAsia" w:ascii="仿宋_GB2312" w:hAnsi="宋体" w:eastAsia="仿宋_GB2312" w:cs="仿宋_GB2312"/>
          <w:color w:val="auto"/>
          <w:sz w:val="32"/>
          <w:szCs w:val="32"/>
          <w:highlight w:val="none"/>
          <w:lang w:val="en-US" w:eastAsia="zh-CN"/>
        </w:rPr>
        <w:t xml:space="preserve">/T </w:t>
      </w:r>
      <w:r>
        <w:rPr>
          <w:rFonts w:hint="eastAsia" w:ascii="仿宋_GB2312" w:hAnsi="宋体" w:eastAsia="仿宋_GB2312" w:cs="仿宋_GB2312"/>
          <w:color w:val="auto"/>
          <w:sz w:val="32"/>
          <w:szCs w:val="32"/>
          <w:highlight w:val="none"/>
        </w:rPr>
        <w:t>716-2019规定</w:t>
      </w:r>
      <w:r>
        <w:rPr>
          <w:rFonts w:hint="eastAsia" w:ascii="仿宋_GB2312" w:hAnsi="宋体" w:eastAsia="仿宋_GB2312" w:cs="仿宋_GB2312"/>
          <w:color w:val="auto"/>
          <w:sz w:val="32"/>
          <w:szCs w:val="32"/>
          <w:highlight w:val="none"/>
          <w:lang w:val="en-US" w:eastAsia="zh-CN"/>
        </w:rPr>
        <w:t>的外观缺陷；在</w:t>
      </w:r>
      <w:r>
        <w:rPr>
          <w:rFonts w:hint="eastAsia" w:ascii="仿宋_GB2312" w:hAnsi="宋体" w:eastAsia="仿宋_GB2312" w:cs="仿宋_GB2312"/>
          <w:color w:val="auto"/>
          <w:sz w:val="32"/>
          <w:szCs w:val="32"/>
          <w:highlight w:val="none"/>
        </w:rPr>
        <w:t>正常使用情况下</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断丝不能超过</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14:paraId="7F30DF9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.钢丝绳伸</w:t>
      </w:r>
      <w:r>
        <w:rPr>
          <w:rFonts w:hint="eastAsia" w:ascii="仿宋_GB2312" w:hAnsi="宋体" w:eastAsia="仿宋_GB2312" w:cs="仿宋_GB2312"/>
          <w:color w:val="auto"/>
          <w:sz w:val="32"/>
          <w:szCs w:val="32"/>
          <w:highlight w:val="none"/>
          <w:lang w:val="en-US" w:eastAsia="zh-CN"/>
        </w:rPr>
        <w:t>长率：初次加额定载荷结构伸长率不大于0.20%，钢丝绳整绳永久塑性伸长不大于0.30%。</w:t>
      </w:r>
    </w:p>
    <w:p w14:paraId="1AEC53C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7.钢丝绳的实测直径偏差：0～+5%，钢丝绳的不圆度不得大于钢丝绳公称直径的4%。</w:t>
      </w:r>
    </w:p>
    <w:p w14:paraId="0469BA18">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8.钢丝绳的实测长度在无负荷状态下允许与订货长度偏差0～+20m。</w:t>
      </w:r>
    </w:p>
    <w:p w14:paraId="607E1FF7">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9.</w:t>
      </w:r>
      <w:r>
        <w:rPr>
          <w:rFonts w:hint="eastAsia" w:ascii="仿宋_GB2312" w:hAnsi="宋体" w:eastAsia="仿宋_GB2312" w:cs="仿宋_GB2312"/>
          <w:color w:val="auto"/>
          <w:sz w:val="32"/>
          <w:szCs w:val="32"/>
          <w:highlight w:val="none"/>
        </w:rPr>
        <w:t>钢丝绳</w:t>
      </w:r>
      <w:r>
        <w:rPr>
          <w:rFonts w:hint="eastAsia" w:ascii="仿宋_GB2312" w:hAnsi="宋体" w:eastAsia="仿宋_GB2312" w:cs="仿宋_GB2312"/>
          <w:color w:val="auto"/>
          <w:sz w:val="32"/>
          <w:szCs w:val="32"/>
          <w:highlight w:val="none"/>
          <w:lang w:val="en-US" w:eastAsia="zh-CN"/>
        </w:rPr>
        <w:t>的</w:t>
      </w:r>
      <w:r>
        <w:rPr>
          <w:rFonts w:hint="eastAsia" w:ascii="仿宋_GB2312" w:hAnsi="宋体" w:eastAsia="仿宋_GB2312" w:cs="仿宋_GB2312"/>
          <w:color w:val="auto"/>
          <w:sz w:val="32"/>
          <w:szCs w:val="32"/>
          <w:highlight w:val="none"/>
        </w:rPr>
        <w:t>实</w:t>
      </w:r>
      <w:r>
        <w:rPr>
          <w:rFonts w:hint="eastAsia" w:ascii="仿宋_GB2312" w:hAnsi="宋体" w:eastAsia="仿宋_GB2312" w:cs="仿宋_GB2312"/>
          <w:color w:val="auto"/>
          <w:sz w:val="32"/>
          <w:szCs w:val="32"/>
          <w:highlight w:val="none"/>
          <w:lang w:val="en-US" w:eastAsia="zh-CN"/>
        </w:rPr>
        <w:t>测</w:t>
      </w:r>
      <w:r>
        <w:rPr>
          <w:rFonts w:hint="eastAsia" w:ascii="仿宋_GB2312" w:hAnsi="宋体" w:eastAsia="仿宋_GB2312" w:cs="仿宋_GB2312"/>
          <w:color w:val="auto"/>
          <w:sz w:val="32"/>
          <w:szCs w:val="32"/>
          <w:highlight w:val="none"/>
        </w:rPr>
        <w:t>重量偏差</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-2%～+5%。</w:t>
      </w:r>
    </w:p>
    <w:p w14:paraId="28728E94">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.钢丝绳注油要求：</w:t>
      </w:r>
    </w:p>
    <w:p w14:paraId="1DA156E1">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1</w:t>
      </w:r>
      <w:r>
        <w:rPr>
          <w:rFonts w:hint="eastAsia" w:ascii="仿宋_GB2312" w:hAnsi="宋体" w:eastAsia="仿宋_GB2312" w:cs="仿宋_GB2312"/>
          <w:color w:val="auto"/>
          <w:sz w:val="32"/>
          <w:szCs w:val="32"/>
          <w:highlight w:val="none"/>
        </w:rPr>
        <w:t>钢丝绳注油采用加温、高压压注工艺。</w:t>
      </w:r>
    </w:p>
    <w:p w14:paraId="60000794">
      <w:pPr>
        <w:spacing w:line="560" w:lineRule="exact"/>
        <w:ind w:firstLine="640" w:firstLineChars="200"/>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钢丝绳挂绳后在提升机设计速度下运行不甩油</w:t>
      </w:r>
      <w:r>
        <w:rPr>
          <w:rFonts w:hint="eastAsia" w:ascii="仿宋_GB2312" w:hAnsi="宋体" w:eastAsia="仿宋_GB2312" w:cs="仿宋_GB2312"/>
          <w:color w:val="auto"/>
          <w:sz w:val="32"/>
          <w:szCs w:val="32"/>
          <w:highlight w:val="none"/>
          <w:lang w:eastAsia="zh-CN"/>
        </w:rPr>
        <w:t>。</w:t>
      </w:r>
    </w:p>
    <w:p w14:paraId="4B3BF136">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highlight w:val="none"/>
        </w:rPr>
        <w:t>规定要求</w:t>
      </w:r>
      <w:r>
        <w:rPr>
          <w:rFonts w:hint="eastAsia" w:ascii="仿宋_GB2312" w:hAnsi="仿宋_GB2312" w:eastAsia="仿宋_GB2312" w:cs="仿宋_GB2312"/>
          <w:color w:val="auto"/>
          <w:sz w:val="32"/>
          <w:szCs w:val="32"/>
          <w:highlight w:val="none"/>
          <w:lang w:val="en-US" w:eastAsia="zh-CN"/>
        </w:rPr>
        <w:t>。</w:t>
      </w:r>
    </w:p>
    <w:p w14:paraId="5072DE3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14:paraId="472E74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14:paraId="2CEA24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14:paraId="3A37998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四、质量保证、验收标准及随机资料</w:t>
      </w:r>
    </w:p>
    <w:p w14:paraId="63D7AE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1.钢丝绳质量符合</w:t>
      </w:r>
      <w:r>
        <w:rPr>
          <w:rFonts w:hint="eastAsia" w:ascii="仿宋_GB2312" w:hAnsi="宋体" w:eastAsia="仿宋_GB2312" w:cs="仿宋_GB2312"/>
          <w:color w:val="auto"/>
          <w:sz w:val="32"/>
          <w:szCs w:val="32"/>
          <w:highlight w:val="none"/>
        </w:rPr>
        <w:t>中国国家标准GB/T 8918-2006及煤炭行业MT/T 716-2019标准</w:t>
      </w:r>
      <w:r>
        <w:rPr>
          <w:rFonts w:hint="eastAsia" w:ascii="仿宋_GB2312" w:hAnsi="宋体" w:eastAsia="仿宋_GB2312" w:cs="仿宋_GB2312"/>
          <w:color w:val="auto"/>
          <w:sz w:val="32"/>
          <w:szCs w:val="32"/>
          <w:highlight w:val="none"/>
          <w:lang w:val="en-US" w:eastAsia="zh-CN"/>
        </w:rPr>
        <w:t>要求。</w:t>
      </w:r>
    </w:p>
    <w:p w14:paraId="15F9A8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验收和检验执行标准：MT/T716-2019</w:t>
      </w:r>
      <w:r>
        <w:rPr>
          <w:rFonts w:hint="eastAsia" w:ascii="仿宋_GB2312" w:hAnsi="宋体" w:eastAsia="仿宋_GB2312" w:cs="仿宋_GB2312"/>
          <w:color w:val="auto"/>
          <w:sz w:val="32"/>
          <w:szCs w:val="32"/>
          <w:highlight w:val="none"/>
          <w:lang w:eastAsia="zh-CN"/>
        </w:rPr>
        <w:t>。</w:t>
      </w:r>
    </w:p>
    <w:p w14:paraId="1C00B2C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.所供应的产品必须提供产品合格证、质量证明书、</w:t>
      </w:r>
      <w:r>
        <w:rPr>
          <w:rFonts w:hint="eastAsia" w:ascii="仿宋_GB2312" w:hAnsi="宋体" w:eastAsia="仿宋_GB2312" w:cs="仿宋_GB2312"/>
          <w:color w:val="auto"/>
          <w:sz w:val="32"/>
          <w:szCs w:val="32"/>
          <w:highlight w:val="none"/>
          <w:lang w:val="en-US" w:eastAsia="zh-CN"/>
        </w:rPr>
        <w:t>质检报告、</w:t>
      </w:r>
      <w:r>
        <w:rPr>
          <w:rFonts w:hint="eastAsia" w:ascii="仿宋_GB2312" w:hAnsi="宋体" w:eastAsia="仿宋_GB2312" w:cs="仿宋_GB2312"/>
          <w:color w:val="auto"/>
          <w:sz w:val="32"/>
          <w:szCs w:val="32"/>
          <w:highlight w:val="none"/>
        </w:rPr>
        <w:t>煤矿矿用产品安全标志（MA标志）等资料。</w:t>
      </w:r>
    </w:p>
    <w:p w14:paraId="05B30DC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五、“三包”要求</w:t>
      </w:r>
    </w:p>
    <w:p w14:paraId="09AC762C">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除国家另有专门规定、招标文件有特殊要求或投标方有优 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14:paraId="2058B1B7">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14:paraId="661D8C60">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1.按投标书承诺及国家标准执行。</w:t>
      </w:r>
    </w:p>
    <w:p w14:paraId="0C5DE687">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如有任何质量问题，在收到</w:t>
      </w:r>
      <w:r>
        <w:rPr>
          <w:rFonts w:hint="eastAsia" w:ascii="仿宋_GB2312" w:hAnsi="宋体" w:eastAsia="仿宋_GB2312" w:cs="仿宋_GB2312"/>
          <w:color w:val="auto"/>
          <w:sz w:val="32"/>
          <w:szCs w:val="32"/>
          <w:highlight w:val="none"/>
          <w:lang w:val="en-US" w:eastAsia="zh-CN"/>
        </w:rPr>
        <w:t>使用单位</w:t>
      </w:r>
      <w:r>
        <w:rPr>
          <w:rFonts w:hint="eastAsia" w:ascii="仿宋_GB2312" w:hAnsi="宋体" w:eastAsia="仿宋_GB2312" w:cs="仿宋_GB2312"/>
          <w:color w:val="auto"/>
          <w:sz w:val="32"/>
          <w:szCs w:val="32"/>
          <w:highlight w:val="none"/>
        </w:rPr>
        <w:t>通知后24小时内赶到现场处理。</w:t>
      </w:r>
    </w:p>
    <w:p w14:paraId="15F059E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七、包装、运输及储存</w:t>
      </w:r>
    </w:p>
    <w:p w14:paraId="66F0950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1.投标人必须按最新国家标准要求包装设计和提供合适的包装，确保其不受损坏。</w:t>
      </w:r>
    </w:p>
    <w:p w14:paraId="6FA706E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2.物资的包装、防护要确保物资便于运输和储存，显著位置标明发货单位和地点等，并有包装储运标志。</w:t>
      </w:r>
    </w:p>
    <w:p w14:paraId="146C84FD">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八、供货时间及地点</w:t>
      </w:r>
    </w:p>
    <w:p w14:paraId="7E87BB6D">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期望交货期：</w:t>
      </w:r>
    </w:p>
    <w:p w14:paraId="60DBF666">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1.主井提升钢丝绳：</w:t>
      </w:r>
      <w:r>
        <w:rPr>
          <w:rFonts w:hint="eastAsia" w:ascii="仿宋_GB2312" w:hAnsi="宋体" w:eastAsia="仿宋_GB2312" w:cs="仿宋_GB2312"/>
          <w:color w:val="auto"/>
          <w:sz w:val="32"/>
          <w:szCs w:val="32"/>
          <w:highlight w:val="none"/>
        </w:rPr>
        <w:t>202</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年</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月</w:t>
      </w:r>
      <w:r>
        <w:rPr>
          <w:rFonts w:hint="eastAsia" w:ascii="仿宋_GB2312" w:hAnsi="宋体" w:eastAsia="仿宋_GB2312" w:cs="仿宋_GB2312"/>
          <w:color w:val="auto"/>
          <w:sz w:val="32"/>
          <w:szCs w:val="32"/>
          <w:highlight w:val="none"/>
          <w:lang w:val="en-US" w:eastAsia="zh-CN"/>
        </w:rPr>
        <w:t>30日前</w:t>
      </w:r>
      <w:r>
        <w:rPr>
          <w:rFonts w:hint="eastAsia" w:ascii="仿宋_GB2312" w:hAnsi="宋体" w:eastAsia="仿宋_GB2312" w:cs="仿宋_GB2312"/>
          <w:color w:val="auto"/>
          <w:sz w:val="32"/>
          <w:szCs w:val="32"/>
          <w:highlight w:val="none"/>
        </w:rPr>
        <w:t>。</w:t>
      </w:r>
    </w:p>
    <w:p w14:paraId="5210AE75">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2.副井提升钢丝绳：</w:t>
      </w:r>
      <w:r>
        <w:rPr>
          <w:rFonts w:hint="eastAsia" w:ascii="仿宋_GB2312" w:hAnsi="宋体" w:eastAsia="仿宋_GB2312" w:cs="仿宋_GB2312"/>
          <w:color w:val="auto"/>
          <w:sz w:val="32"/>
          <w:szCs w:val="32"/>
          <w:highlight w:val="none"/>
        </w:rPr>
        <w:t>202</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年</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月</w:t>
      </w:r>
      <w:r>
        <w:rPr>
          <w:rFonts w:hint="eastAsia" w:ascii="仿宋_GB2312" w:hAnsi="宋体" w:eastAsia="仿宋_GB2312" w:cs="仿宋_GB2312"/>
          <w:color w:val="auto"/>
          <w:sz w:val="32"/>
          <w:szCs w:val="32"/>
          <w:highlight w:val="none"/>
          <w:lang w:val="en-US" w:eastAsia="zh-CN"/>
        </w:rPr>
        <w:t>30日前</w:t>
      </w:r>
      <w:r>
        <w:rPr>
          <w:rFonts w:hint="eastAsia" w:ascii="仿宋_GB2312" w:hAnsi="宋体" w:eastAsia="仿宋_GB2312" w:cs="仿宋_GB2312"/>
          <w:color w:val="auto"/>
          <w:sz w:val="32"/>
          <w:szCs w:val="32"/>
          <w:highlight w:val="none"/>
        </w:rPr>
        <w:t>。</w:t>
      </w:r>
    </w:p>
    <w:p w14:paraId="5F60D02B">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3.东部井提升钢丝绳：</w:t>
      </w:r>
      <w:r>
        <w:rPr>
          <w:rFonts w:hint="eastAsia" w:ascii="仿宋_GB2312" w:hAnsi="宋体" w:eastAsia="仿宋_GB2312" w:cs="仿宋_GB2312"/>
          <w:color w:val="auto"/>
          <w:sz w:val="32"/>
          <w:szCs w:val="32"/>
          <w:highlight w:val="none"/>
        </w:rPr>
        <w:t>202</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年</w:t>
      </w:r>
      <w:r>
        <w:rPr>
          <w:rFonts w:hint="eastAsia" w:ascii="仿宋_GB2312" w:hAnsi="宋体" w:eastAsia="仿宋_GB2312" w:cs="仿宋_GB2312"/>
          <w:color w:val="auto"/>
          <w:sz w:val="32"/>
          <w:szCs w:val="32"/>
          <w:highlight w:val="none"/>
          <w:lang w:val="en-US" w:eastAsia="zh-CN"/>
        </w:rPr>
        <w:t>12</w:t>
      </w:r>
      <w:r>
        <w:rPr>
          <w:rFonts w:hint="eastAsia" w:ascii="仿宋_GB2312" w:hAnsi="宋体" w:eastAsia="仿宋_GB2312" w:cs="仿宋_GB2312"/>
          <w:color w:val="auto"/>
          <w:sz w:val="32"/>
          <w:szCs w:val="32"/>
          <w:highlight w:val="none"/>
        </w:rPr>
        <w:t>月</w:t>
      </w:r>
      <w:r>
        <w:rPr>
          <w:rFonts w:hint="eastAsia" w:ascii="仿宋_GB2312" w:hAnsi="宋体" w:eastAsia="仿宋_GB2312" w:cs="仿宋_GB2312"/>
          <w:color w:val="auto"/>
          <w:sz w:val="32"/>
          <w:szCs w:val="32"/>
          <w:highlight w:val="none"/>
          <w:lang w:val="en-US" w:eastAsia="zh-CN"/>
        </w:rPr>
        <w:t>30日前</w:t>
      </w:r>
      <w:r>
        <w:rPr>
          <w:rFonts w:hint="eastAsia" w:ascii="仿宋_GB2312" w:hAnsi="宋体" w:eastAsia="仿宋_GB2312" w:cs="仿宋_GB2312"/>
          <w:color w:val="auto"/>
          <w:sz w:val="32"/>
          <w:szCs w:val="32"/>
          <w:highlight w:val="none"/>
        </w:rPr>
        <w:t>。</w:t>
      </w:r>
    </w:p>
    <w:p w14:paraId="4867CE64">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asciiTheme="majorEastAsia" w:hAnsiTheme="majorEastAsia" w:eastAsiaTheme="majorEastAsia"/>
          <w:color w:val="auto"/>
          <w:sz w:val="32"/>
          <w:szCs w:val="32"/>
          <w:highlight w:val="none"/>
        </w:rPr>
      </w:pPr>
      <w:r>
        <w:rPr>
          <w:rFonts w:hint="eastAsia" w:ascii="仿宋_GB2312" w:hAnsi="仿宋_GB2312" w:eastAsia="仿宋_GB2312" w:cs="仿宋_GB2312"/>
          <w:color w:val="auto"/>
          <w:sz w:val="32"/>
          <w:szCs w:val="32"/>
          <w:highlight w:val="none"/>
          <w:lang w:val="en-US" w:eastAsia="zh-CN"/>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4639A"/>
    <w:rsid w:val="00050359"/>
    <w:rsid w:val="000942B7"/>
    <w:rsid w:val="000F6505"/>
    <w:rsid w:val="00124B95"/>
    <w:rsid w:val="001402AB"/>
    <w:rsid w:val="00222DD2"/>
    <w:rsid w:val="002457B9"/>
    <w:rsid w:val="00295505"/>
    <w:rsid w:val="002D5376"/>
    <w:rsid w:val="00320471"/>
    <w:rsid w:val="0036740B"/>
    <w:rsid w:val="003E72CF"/>
    <w:rsid w:val="00414646"/>
    <w:rsid w:val="00453FFA"/>
    <w:rsid w:val="00456A52"/>
    <w:rsid w:val="00486341"/>
    <w:rsid w:val="004B1F75"/>
    <w:rsid w:val="005F29A8"/>
    <w:rsid w:val="006B6CBC"/>
    <w:rsid w:val="00731765"/>
    <w:rsid w:val="00741D71"/>
    <w:rsid w:val="00787EBE"/>
    <w:rsid w:val="007B5AC2"/>
    <w:rsid w:val="007B7673"/>
    <w:rsid w:val="007C7725"/>
    <w:rsid w:val="007E6BF3"/>
    <w:rsid w:val="00824278"/>
    <w:rsid w:val="008D498F"/>
    <w:rsid w:val="008E2854"/>
    <w:rsid w:val="008F4A1D"/>
    <w:rsid w:val="00917C61"/>
    <w:rsid w:val="009272B9"/>
    <w:rsid w:val="009C4B63"/>
    <w:rsid w:val="00A033F7"/>
    <w:rsid w:val="00A227B6"/>
    <w:rsid w:val="00A26A18"/>
    <w:rsid w:val="00A441AB"/>
    <w:rsid w:val="00A615AD"/>
    <w:rsid w:val="00A83AD0"/>
    <w:rsid w:val="00A91B79"/>
    <w:rsid w:val="00AD4FC8"/>
    <w:rsid w:val="00B51228"/>
    <w:rsid w:val="00B62AD4"/>
    <w:rsid w:val="00B6736C"/>
    <w:rsid w:val="00BA2C2A"/>
    <w:rsid w:val="00BE606B"/>
    <w:rsid w:val="00BF3879"/>
    <w:rsid w:val="00C95729"/>
    <w:rsid w:val="00C963E9"/>
    <w:rsid w:val="00CC4B9E"/>
    <w:rsid w:val="00D214EC"/>
    <w:rsid w:val="00D318AB"/>
    <w:rsid w:val="00DE4767"/>
    <w:rsid w:val="00E07CF4"/>
    <w:rsid w:val="00E1243A"/>
    <w:rsid w:val="00E659E0"/>
    <w:rsid w:val="00E721CA"/>
    <w:rsid w:val="00EC308B"/>
    <w:rsid w:val="00EE6707"/>
    <w:rsid w:val="00F23C3C"/>
    <w:rsid w:val="00F34581"/>
    <w:rsid w:val="00F35E42"/>
    <w:rsid w:val="00F6497C"/>
    <w:rsid w:val="00F8265C"/>
    <w:rsid w:val="00FC0A4C"/>
    <w:rsid w:val="00FF1230"/>
    <w:rsid w:val="00FF6747"/>
    <w:rsid w:val="016471B8"/>
    <w:rsid w:val="01787946"/>
    <w:rsid w:val="01944054"/>
    <w:rsid w:val="01987FE8"/>
    <w:rsid w:val="01C205FE"/>
    <w:rsid w:val="01D60B10"/>
    <w:rsid w:val="025739FF"/>
    <w:rsid w:val="02750329"/>
    <w:rsid w:val="02897931"/>
    <w:rsid w:val="029167E5"/>
    <w:rsid w:val="02C72207"/>
    <w:rsid w:val="03212DD9"/>
    <w:rsid w:val="033B50CF"/>
    <w:rsid w:val="0374238F"/>
    <w:rsid w:val="03B5315B"/>
    <w:rsid w:val="03FF60FC"/>
    <w:rsid w:val="040950B8"/>
    <w:rsid w:val="04CB5FDF"/>
    <w:rsid w:val="05096B07"/>
    <w:rsid w:val="05453FE3"/>
    <w:rsid w:val="054A784B"/>
    <w:rsid w:val="055E32F7"/>
    <w:rsid w:val="05AA2098"/>
    <w:rsid w:val="05B72A07"/>
    <w:rsid w:val="061B4D44"/>
    <w:rsid w:val="0667442D"/>
    <w:rsid w:val="0696261C"/>
    <w:rsid w:val="06A24A02"/>
    <w:rsid w:val="06E4782C"/>
    <w:rsid w:val="071D4AEC"/>
    <w:rsid w:val="07301F12"/>
    <w:rsid w:val="07906EC7"/>
    <w:rsid w:val="079E79DA"/>
    <w:rsid w:val="07F41CF0"/>
    <w:rsid w:val="07FF7612"/>
    <w:rsid w:val="083640B7"/>
    <w:rsid w:val="08E81855"/>
    <w:rsid w:val="09992481"/>
    <w:rsid w:val="09A03EDE"/>
    <w:rsid w:val="09CA0F5B"/>
    <w:rsid w:val="0A2F0DBE"/>
    <w:rsid w:val="0A652A31"/>
    <w:rsid w:val="0A786C09"/>
    <w:rsid w:val="0AFF55B6"/>
    <w:rsid w:val="0B444D3D"/>
    <w:rsid w:val="0B9730BE"/>
    <w:rsid w:val="0BB62F04"/>
    <w:rsid w:val="0C22507E"/>
    <w:rsid w:val="0D0504FC"/>
    <w:rsid w:val="0D780CCE"/>
    <w:rsid w:val="0D913B3D"/>
    <w:rsid w:val="0EA7186A"/>
    <w:rsid w:val="0EE4281A"/>
    <w:rsid w:val="0F3A0931"/>
    <w:rsid w:val="0F59068B"/>
    <w:rsid w:val="0F7B4AA5"/>
    <w:rsid w:val="0F8E47D8"/>
    <w:rsid w:val="0FB07EA3"/>
    <w:rsid w:val="0FBA737B"/>
    <w:rsid w:val="101A606C"/>
    <w:rsid w:val="104A6951"/>
    <w:rsid w:val="104F21BA"/>
    <w:rsid w:val="105F7F23"/>
    <w:rsid w:val="10615A49"/>
    <w:rsid w:val="10F27F55"/>
    <w:rsid w:val="11466D81"/>
    <w:rsid w:val="1182211B"/>
    <w:rsid w:val="11877731"/>
    <w:rsid w:val="127500BC"/>
    <w:rsid w:val="12AB4ED1"/>
    <w:rsid w:val="12E55C62"/>
    <w:rsid w:val="13394A5B"/>
    <w:rsid w:val="1356385F"/>
    <w:rsid w:val="135E44C2"/>
    <w:rsid w:val="1360648C"/>
    <w:rsid w:val="1380268A"/>
    <w:rsid w:val="144B713C"/>
    <w:rsid w:val="14A8633C"/>
    <w:rsid w:val="14D830F1"/>
    <w:rsid w:val="14DE58BA"/>
    <w:rsid w:val="153D4CD7"/>
    <w:rsid w:val="158E4113"/>
    <w:rsid w:val="15AE34DE"/>
    <w:rsid w:val="15B14D7D"/>
    <w:rsid w:val="15C34AB0"/>
    <w:rsid w:val="15C40F54"/>
    <w:rsid w:val="16053AB4"/>
    <w:rsid w:val="166A3A8D"/>
    <w:rsid w:val="16774218"/>
    <w:rsid w:val="16976668"/>
    <w:rsid w:val="16B03286"/>
    <w:rsid w:val="16D76A65"/>
    <w:rsid w:val="16F90CDE"/>
    <w:rsid w:val="174D31CB"/>
    <w:rsid w:val="17B86896"/>
    <w:rsid w:val="17F04282"/>
    <w:rsid w:val="187F73B4"/>
    <w:rsid w:val="18EB67F8"/>
    <w:rsid w:val="1900158C"/>
    <w:rsid w:val="19722A75"/>
    <w:rsid w:val="1A6920CA"/>
    <w:rsid w:val="1AB01BE3"/>
    <w:rsid w:val="1AC313D1"/>
    <w:rsid w:val="1AE259D8"/>
    <w:rsid w:val="1AEB5948"/>
    <w:rsid w:val="1AFC1190"/>
    <w:rsid w:val="1BAA0BEC"/>
    <w:rsid w:val="1BAF7FB0"/>
    <w:rsid w:val="1C026332"/>
    <w:rsid w:val="1C197B20"/>
    <w:rsid w:val="1C252021"/>
    <w:rsid w:val="1C2E35CB"/>
    <w:rsid w:val="1C7134B8"/>
    <w:rsid w:val="1C782A98"/>
    <w:rsid w:val="1C8F714F"/>
    <w:rsid w:val="1D200FB8"/>
    <w:rsid w:val="1D2624F4"/>
    <w:rsid w:val="1D807E56"/>
    <w:rsid w:val="1DA5336D"/>
    <w:rsid w:val="1DC9685F"/>
    <w:rsid w:val="1DF12B02"/>
    <w:rsid w:val="1DFD14A7"/>
    <w:rsid w:val="1E1C7453"/>
    <w:rsid w:val="1E4E3AB1"/>
    <w:rsid w:val="1EC45B21"/>
    <w:rsid w:val="1EEB7551"/>
    <w:rsid w:val="1EFA4321"/>
    <w:rsid w:val="1F301408"/>
    <w:rsid w:val="1F464788"/>
    <w:rsid w:val="1F552C1D"/>
    <w:rsid w:val="1F7F5EEC"/>
    <w:rsid w:val="1FDF698A"/>
    <w:rsid w:val="207478AE"/>
    <w:rsid w:val="20A7394C"/>
    <w:rsid w:val="20BD4F1E"/>
    <w:rsid w:val="213351E0"/>
    <w:rsid w:val="227F1403"/>
    <w:rsid w:val="2302130E"/>
    <w:rsid w:val="23264FFC"/>
    <w:rsid w:val="23A221A9"/>
    <w:rsid w:val="23C224F3"/>
    <w:rsid w:val="24224A68"/>
    <w:rsid w:val="2423153B"/>
    <w:rsid w:val="242F6132"/>
    <w:rsid w:val="2437073C"/>
    <w:rsid w:val="24523BCF"/>
    <w:rsid w:val="246A53BC"/>
    <w:rsid w:val="24A65CC9"/>
    <w:rsid w:val="24D942F0"/>
    <w:rsid w:val="252F5CBE"/>
    <w:rsid w:val="25F018F1"/>
    <w:rsid w:val="2634523F"/>
    <w:rsid w:val="26906C30"/>
    <w:rsid w:val="26A10E3D"/>
    <w:rsid w:val="26A5448A"/>
    <w:rsid w:val="27483067"/>
    <w:rsid w:val="2777484B"/>
    <w:rsid w:val="27946588"/>
    <w:rsid w:val="27DC037F"/>
    <w:rsid w:val="280478D6"/>
    <w:rsid w:val="28215D92"/>
    <w:rsid w:val="28650375"/>
    <w:rsid w:val="287233A8"/>
    <w:rsid w:val="287B7B98"/>
    <w:rsid w:val="2891635B"/>
    <w:rsid w:val="297B3BC8"/>
    <w:rsid w:val="29995DFC"/>
    <w:rsid w:val="2A264090"/>
    <w:rsid w:val="2A742AF1"/>
    <w:rsid w:val="2A781EB5"/>
    <w:rsid w:val="2ABE5B1A"/>
    <w:rsid w:val="2AE61515"/>
    <w:rsid w:val="2AEB08D9"/>
    <w:rsid w:val="2AFA0B1C"/>
    <w:rsid w:val="2BFA7026"/>
    <w:rsid w:val="2C7144C8"/>
    <w:rsid w:val="2C7212B2"/>
    <w:rsid w:val="2CDE602D"/>
    <w:rsid w:val="2CE43832"/>
    <w:rsid w:val="2D0C04CA"/>
    <w:rsid w:val="2DB15E0A"/>
    <w:rsid w:val="2DC4288F"/>
    <w:rsid w:val="2EF97A69"/>
    <w:rsid w:val="2F034443"/>
    <w:rsid w:val="2F097580"/>
    <w:rsid w:val="2F9037FD"/>
    <w:rsid w:val="2FAE3425"/>
    <w:rsid w:val="302B08A4"/>
    <w:rsid w:val="30354AD0"/>
    <w:rsid w:val="3050190A"/>
    <w:rsid w:val="305137EA"/>
    <w:rsid w:val="30520A24"/>
    <w:rsid w:val="30FF50DE"/>
    <w:rsid w:val="3106646D"/>
    <w:rsid w:val="311961A0"/>
    <w:rsid w:val="312C218F"/>
    <w:rsid w:val="31AD0696"/>
    <w:rsid w:val="322E5C7B"/>
    <w:rsid w:val="32821B23"/>
    <w:rsid w:val="32A81629"/>
    <w:rsid w:val="32CD6F61"/>
    <w:rsid w:val="32F347CF"/>
    <w:rsid w:val="33863895"/>
    <w:rsid w:val="33D068BE"/>
    <w:rsid w:val="33D571B6"/>
    <w:rsid w:val="3410784B"/>
    <w:rsid w:val="343E1A7A"/>
    <w:rsid w:val="34401C96"/>
    <w:rsid w:val="344A041F"/>
    <w:rsid w:val="3491604D"/>
    <w:rsid w:val="35243365"/>
    <w:rsid w:val="35633E8E"/>
    <w:rsid w:val="356C2617"/>
    <w:rsid w:val="358B0CEF"/>
    <w:rsid w:val="359D0A22"/>
    <w:rsid w:val="35E054DE"/>
    <w:rsid w:val="35E14DB3"/>
    <w:rsid w:val="36372C24"/>
    <w:rsid w:val="36C22E36"/>
    <w:rsid w:val="36FD5C1C"/>
    <w:rsid w:val="37300E9A"/>
    <w:rsid w:val="37623CD1"/>
    <w:rsid w:val="379540A7"/>
    <w:rsid w:val="379F77DE"/>
    <w:rsid w:val="37B24644"/>
    <w:rsid w:val="387F7AFC"/>
    <w:rsid w:val="388760E5"/>
    <w:rsid w:val="389C3213"/>
    <w:rsid w:val="39072D82"/>
    <w:rsid w:val="39DC2C18"/>
    <w:rsid w:val="39E11825"/>
    <w:rsid w:val="3A26548A"/>
    <w:rsid w:val="3A4B6C9E"/>
    <w:rsid w:val="3A705273"/>
    <w:rsid w:val="3A865F28"/>
    <w:rsid w:val="3B201ED9"/>
    <w:rsid w:val="3B765F9D"/>
    <w:rsid w:val="3BD056AD"/>
    <w:rsid w:val="3BDF3B42"/>
    <w:rsid w:val="3CB94393"/>
    <w:rsid w:val="3D0A4BEF"/>
    <w:rsid w:val="3D1837B0"/>
    <w:rsid w:val="3D2E2080"/>
    <w:rsid w:val="3E3C7087"/>
    <w:rsid w:val="3E7A3FF6"/>
    <w:rsid w:val="3EE75DB1"/>
    <w:rsid w:val="3EE871B2"/>
    <w:rsid w:val="3EFA2FEF"/>
    <w:rsid w:val="3EFA767A"/>
    <w:rsid w:val="3FC574F3"/>
    <w:rsid w:val="3FDD65EB"/>
    <w:rsid w:val="3FE21E53"/>
    <w:rsid w:val="404D19C2"/>
    <w:rsid w:val="410E532E"/>
    <w:rsid w:val="417E7959"/>
    <w:rsid w:val="41B82E6B"/>
    <w:rsid w:val="41BB295C"/>
    <w:rsid w:val="41C90B67"/>
    <w:rsid w:val="41EC0D67"/>
    <w:rsid w:val="41EF0857"/>
    <w:rsid w:val="41F20877"/>
    <w:rsid w:val="42334BE8"/>
    <w:rsid w:val="423821FE"/>
    <w:rsid w:val="425D7EB7"/>
    <w:rsid w:val="42B850ED"/>
    <w:rsid w:val="42F97BDF"/>
    <w:rsid w:val="433B01F8"/>
    <w:rsid w:val="433E204B"/>
    <w:rsid w:val="43931DE2"/>
    <w:rsid w:val="43A83686"/>
    <w:rsid w:val="43CF6B92"/>
    <w:rsid w:val="440E1DFF"/>
    <w:rsid w:val="441D78FE"/>
    <w:rsid w:val="44627A06"/>
    <w:rsid w:val="45132AAF"/>
    <w:rsid w:val="45815C6A"/>
    <w:rsid w:val="45905EAD"/>
    <w:rsid w:val="45C53DA9"/>
    <w:rsid w:val="45E06E35"/>
    <w:rsid w:val="45E701C3"/>
    <w:rsid w:val="46503FBA"/>
    <w:rsid w:val="46641814"/>
    <w:rsid w:val="46D63D94"/>
    <w:rsid w:val="47D04AC0"/>
    <w:rsid w:val="487F0B87"/>
    <w:rsid w:val="48B14AB8"/>
    <w:rsid w:val="48B819A3"/>
    <w:rsid w:val="48C22822"/>
    <w:rsid w:val="48FF0830"/>
    <w:rsid w:val="49137521"/>
    <w:rsid w:val="493D00FA"/>
    <w:rsid w:val="49723CBC"/>
    <w:rsid w:val="499E328F"/>
    <w:rsid w:val="49B85EE7"/>
    <w:rsid w:val="4AB8212E"/>
    <w:rsid w:val="4AEF182A"/>
    <w:rsid w:val="4B7E5126"/>
    <w:rsid w:val="4BE331DB"/>
    <w:rsid w:val="4C790DB8"/>
    <w:rsid w:val="4C793B3F"/>
    <w:rsid w:val="4CBA30D2"/>
    <w:rsid w:val="4CBB5F06"/>
    <w:rsid w:val="4D3F2700"/>
    <w:rsid w:val="4DBE4E9F"/>
    <w:rsid w:val="4DCE1C69"/>
    <w:rsid w:val="4E0256F8"/>
    <w:rsid w:val="4F7B372A"/>
    <w:rsid w:val="4F8627FB"/>
    <w:rsid w:val="4FA079A4"/>
    <w:rsid w:val="5051105B"/>
    <w:rsid w:val="506906D7"/>
    <w:rsid w:val="50834F8C"/>
    <w:rsid w:val="50A067B2"/>
    <w:rsid w:val="50E4709D"/>
    <w:rsid w:val="52097713"/>
    <w:rsid w:val="525070F0"/>
    <w:rsid w:val="53000B16"/>
    <w:rsid w:val="5302663C"/>
    <w:rsid w:val="53397ECF"/>
    <w:rsid w:val="53916FD7"/>
    <w:rsid w:val="53C30DAB"/>
    <w:rsid w:val="53D33B35"/>
    <w:rsid w:val="53F1045F"/>
    <w:rsid w:val="53F34205"/>
    <w:rsid w:val="542E5D07"/>
    <w:rsid w:val="54332825"/>
    <w:rsid w:val="54624EB9"/>
    <w:rsid w:val="54EF2BF0"/>
    <w:rsid w:val="54F46459"/>
    <w:rsid w:val="553700F3"/>
    <w:rsid w:val="557D01FC"/>
    <w:rsid w:val="55AE083E"/>
    <w:rsid w:val="564B4277"/>
    <w:rsid w:val="56625644"/>
    <w:rsid w:val="569818C9"/>
    <w:rsid w:val="569C2904"/>
    <w:rsid w:val="576E7B51"/>
    <w:rsid w:val="57715B3F"/>
    <w:rsid w:val="578C4726"/>
    <w:rsid w:val="57C33EC0"/>
    <w:rsid w:val="57E44562"/>
    <w:rsid w:val="57E83927"/>
    <w:rsid w:val="57EC6F8B"/>
    <w:rsid w:val="58020E8D"/>
    <w:rsid w:val="58354DBE"/>
    <w:rsid w:val="58515970"/>
    <w:rsid w:val="58A106A5"/>
    <w:rsid w:val="58D1792B"/>
    <w:rsid w:val="58F06442"/>
    <w:rsid w:val="590766A7"/>
    <w:rsid w:val="593947ED"/>
    <w:rsid w:val="59513E7A"/>
    <w:rsid w:val="5B2F1F99"/>
    <w:rsid w:val="5BA81D4B"/>
    <w:rsid w:val="5C175ACE"/>
    <w:rsid w:val="5C5E240A"/>
    <w:rsid w:val="5C7D6D34"/>
    <w:rsid w:val="5CD01559"/>
    <w:rsid w:val="5CE45005"/>
    <w:rsid w:val="5CF76AE6"/>
    <w:rsid w:val="5D23755F"/>
    <w:rsid w:val="5D26561D"/>
    <w:rsid w:val="5D445510"/>
    <w:rsid w:val="5DE9788E"/>
    <w:rsid w:val="5DEA21A7"/>
    <w:rsid w:val="5E08087F"/>
    <w:rsid w:val="5E197CAA"/>
    <w:rsid w:val="5E2558D5"/>
    <w:rsid w:val="5E6A32E8"/>
    <w:rsid w:val="5EAF3FA4"/>
    <w:rsid w:val="5ED510A9"/>
    <w:rsid w:val="5EE22464"/>
    <w:rsid w:val="5EE65064"/>
    <w:rsid w:val="5F23690F"/>
    <w:rsid w:val="601E438A"/>
    <w:rsid w:val="60222571"/>
    <w:rsid w:val="60343BAD"/>
    <w:rsid w:val="60964868"/>
    <w:rsid w:val="60B44CEE"/>
    <w:rsid w:val="60B73D35"/>
    <w:rsid w:val="61137C66"/>
    <w:rsid w:val="61353211"/>
    <w:rsid w:val="616404C2"/>
    <w:rsid w:val="61EB6306"/>
    <w:rsid w:val="61F25ACE"/>
    <w:rsid w:val="624F4CCE"/>
    <w:rsid w:val="62683FE2"/>
    <w:rsid w:val="62740BD9"/>
    <w:rsid w:val="62A96AD4"/>
    <w:rsid w:val="62E96ED1"/>
    <w:rsid w:val="63116428"/>
    <w:rsid w:val="63387E58"/>
    <w:rsid w:val="63744BDA"/>
    <w:rsid w:val="638B1F83"/>
    <w:rsid w:val="638C5AAE"/>
    <w:rsid w:val="63FE69AC"/>
    <w:rsid w:val="64316EA4"/>
    <w:rsid w:val="649966D5"/>
    <w:rsid w:val="64AC6408"/>
    <w:rsid w:val="64BF1D14"/>
    <w:rsid w:val="64C37BF6"/>
    <w:rsid w:val="64EF09EB"/>
    <w:rsid w:val="650C6EA7"/>
    <w:rsid w:val="65A76BCF"/>
    <w:rsid w:val="65DC4ACB"/>
    <w:rsid w:val="66A4634D"/>
    <w:rsid w:val="66B94E0C"/>
    <w:rsid w:val="670C04C4"/>
    <w:rsid w:val="678A67A9"/>
    <w:rsid w:val="679715F1"/>
    <w:rsid w:val="67C25F42"/>
    <w:rsid w:val="67FD7128"/>
    <w:rsid w:val="683F3A37"/>
    <w:rsid w:val="68602E41"/>
    <w:rsid w:val="688651C2"/>
    <w:rsid w:val="68D128E1"/>
    <w:rsid w:val="68EF42FF"/>
    <w:rsid w:val="691B590A"/>
    <w:rsid w:val="69A52001"/>
    <w:rsid w:val="69FD7706"/>
    <w:rsid w:val="6A042842"/>
    <w:rsid w:val="6A2404AA"/>
    <w:rsid w:val="6A5E63F6"/>
    <w:rsid w:val="6A827CB1"/>
    <w:rsid w:val="6B5F2342"/>
    <w:rsid w:val="6BC009EB"/>
    <w:rsid w:val="6BC30A2F"/>
    <w:rsid w:val="6BC95AF1"/>
    <w:rsid w:val="6C092392"/>
    <w:rsid w:val="6C2E004A"/>
    <w:rsid w:val="6CB06CB1"/>
    <w:rsid w:val="6D0F13B5"/>
    <w:rsid w:val="6D427852"/>
    <w:rsid w:val="6DB51EF7"/>
    <w:rsid w:val="6E1B123D"/>
    <w:rsid w:val="6E2214E9"/>
    <w:rsid w:val="6E2C2368"/>
    <w:rsid w:val="6E421B8B"/>
    <w:rsid w:val="6EA36BD3"/>
    <w:rsid w:val="6EBC36EB"/>
    <w:rsid w:val="6EDC3D8E"/>
    <w:rsid w:val="6F0357BE"/>
    <w:rsid w:val="6F1572A0"/>
    <w:rsid w:val="6F5222A2"/>
    <w:rsid w:val="6F773AB6"/>
    <w:rsid w:val="6FA7439C"/>
    <w:rsid w:val="701262D3"/>
    <w:rsid w:val="70141305"/>
    <w:rsid w:val="70A26911"/>
    <w:rsid w:val="70AE5DD6"/>
    <w:rsid w:val="70DF3860"/>
    <w:rsid w:val="71080E6A"/>
    <w:rsid w:val="71593888"/>
    <w:rsid w:val="717C7162"/>
    <w:rsid w:val="719721EE"/>
    <w:rsid w:val="71B27028"/>
    <w:rsid w:val="71C132A7"/>
    <w:rsid w:val="722B3D97"/>
    <w:rsid w:val="722D7A8E"/>
    <w:rsid w:val="726245AA"/>
    <w:rsid w:val="72807126"/>
    <w:rsid w:val="72D119A7"/>
    <w:rsid w:val="73247AB1"/>
    <w:rsid w:val="74051691"/>
    <w:rsid w:val="7456013E"/>
    <w:rsid w:val="745919DD"/>
    <w:rsid w:val="746C5BB4"/>
    <w:rsid w:val="74784559"/>
    <w:rsid w:val="74A76BEC"/>
    <w:rsid w:val="74EC0AA3"/>
    <w:rsid w:val="74F81913"/>
    <w:rsid w:val="74FD3196"/>
    <w:rsid w:val="753366D1"/>
    <w:rsid w:val="7541494A"/>
    <w:rsid w:val="755521A4"/>
    <w:rsid w:val="757F36C5"/>
    <w:rsid w:val="75ED6880"/>
    <w:rsid w:val="76197675"/>
    <w:rsid w:val="76297157"/>
    <w:rsid w:val="76320737"/>
    <w:rsid w:val="76830F93"/>
    <w:rsid w:val="76D31F1A"/>
    <w:rsid w:val="76E01F41"/>
    <w:rsid w:val="76F51E90"/>
    <w:rsid w:val="77106CCA"/>
    <w:rsid w:val="77844FC2"/>
    <w:rsid w:val="77C60C75"/>
    <w:rsid w:val="77D85453"/>
    <w:rsid w:val="7859644F"/>
    <w:rsid w:val="786646C8"/>
    <w:rsid w:val="786E55CE"/>
    <w:rsid w:val="78BC253A"/>
    <w:rsid w:val="78E026CC"/>
    <w:rsid w:val="78F21413"/>
    <w:rsid w:val="797829E8"/>
    <w:rsid w:val="79CE4C1B"/>
    <w:rsid w:val="7A1E34AC"/>
    <w:rsid w:val="7AB12572"/>
    <w:rsid w:val="7AD079A1"/>
    <w:rsid w:val="7B580C40"/>
    <w:rsid w:val="7B713AB0"/>
    <w:rsid w:val="7B7470FC"/>
    <w:rsid w:val="7B786BEC"/>
    <w:rsid w:val="7B9B0B2D"/>
    <w:rsid w:val="7BD55DED"/>
    <w:rsid w:val="7BE14791"/>
    <w:rsid w:val="7C490589"/>
    <w:rsid w:val="7CE85FF3"/>
    <w:rsid w:val="7D0338A2"/>
    <w:rsid w:val="7D8775BA"/>
    <w:rsid w:val="7D9A5540"/>
    <w:rsid w:val="7DF31EB2"/>
    <w:rsid w:val="7E031823"/>
    <w:rsid w:val="7E0E55E6"/>
    <w:rsid w:val="7E461224"/>
    <w:rsid w:val="7E4B683A"/>
    <w:rsid w:val="7E543940"/>
    <w:rsid w:val="7E8E4BE9"/>
    <w:rsid w:val="7E991353"/>
    <w:rsid w:val="7F45238A"/>
    <w:rsid w:val="7F4734A5"/>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批注框文本 字符"/>
    <w:basedOn w:val="9"/>
    <w:link w:val="3"/>
    <w:semiHidden/>
    <w:qFormat/>
    <w:uiPriority w:val="99"/>
    <w:rPr>
      <w:kern w:val="2"/>
      <w:sz w:val="18"/>
      <w:szCs w:val="18"/>
    </w:rPr>
  </w:style>
  <w:style w:type="paragraph" w:customStyle="1" w:styleId="13">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1648</Words>
  <Characters>1925</Characters>
  <Lines>9</Lines>
  <Paragraphs>2</Paragraphs>
  <TotalTime>0</TotalTime>
  <ScaleCrop>false</ScaleCrop>
  <LinksUpToDate>false</LinksUpToDate>
  <CharactersWithSpaces>1936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李颂</cp:lastModifiedBy>
  <cp:lastPrinted>2025-12-18T00:47:00Z</cp:lastPrinted>
  <dcterms:modified xsi:type="dcterms:W3CDTF">2026-02-02T13:56:11Z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8DEEEE25DDBF49F692EA3CA3EB42C7F7_13</vt:lpwstr>
  </property>
  <property fmtid="{D5CDD505-2E9C-101B-9397-08002B2CF9AE}" pid="4" name="KSOTemplateDocerSaveRecord">
    <vt:lpwstr>eyJoZGlkIjoiODI0NzUyMjYzOWNjMjU1N2Q5M2ZlZDFmMTRkMDBmZjMiLCJ1c2VySWQiOiI1NTA5MTYzMjkifQ==</vt:lpwstr>
  </property>
</Properties>
</file>