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51670">
      <w:pPr>
        <w:keepNext w:val="0"/>
        <w:keepLines w:val="0"/>
        <w:pageBreakBefore w:val="0"/>
        <w:widowControl w:val="0"/>
        <w:kinsoku/>
        <w:wordWrap/>
        <w:overflowPunct/>
        <w:topLinePunct w:val="0"/>
        <w:bidi w:val="0"/>
        <w:snapToGrid/>
        <w:spacing w:line="560" w:lineRule="exact"/>
        <w:jc w:val="center"/>
        <w:textAlignment w:val="auto"/>
        <w:rPr>
          <w:rFonts w:hint="default" w:ascii="Times New Roman" w:hAnsi="Times New Roman" w:cs="Times New Roman"/>
          <w:color w:val="auto"/>
          <w:sz w:val="44"/>
          <w:szCs w:val="44"/>
        </w:rPr>
      </w:pPr>
      <w:r>
        <w:rPr>
          <w:rFonts w:hint="default" w:ascii="Times New Roman" w:hAnsi="Times New Roman" w:cs="Times New Roman"/>
          <w:color w:val="auto"/>
          <w:sz w:val="44"/>
          <w:szCs w:val="44"/>
          <w:u w:val="single"/>
        </w:rPr>
        <w:t>煤矿井下假顶用塑料编织布技术规格书</w:t>
      </w:r>
    </w:p>
    <w:p w14:paraId="407D82E3">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714A54EF">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35DFD137">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752C8F7E">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190367B2">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3D334C02">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3DCCC817">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31DA7B8B">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4D9F68BB">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5FB5DABB">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6710CB41">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3A2F0F9F">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45C01637">
      <w:pPr>
        <w:keepNext w:val="0"/>
        <w:keepLines w:val="0"/>
        <w:pageBreakBefore w:val="0"/>
        <w:widowControl w:val="0"/>
        <w:kinsoku/>
        <w:wordWrap/>
        <w:overflowPunct/>
        <w:topLinePunct w:val="0"/>
        <w:bidi w:val="0"/>
        <w:snapToGrid/>
        <w:spacing w:line="560" w:lineRule="exact"/>
        <w:textAlignment w:val="auto"/>
        <w:rPr>
          <w:rFonts w:hint="default" w:ascii="Times New Roman" w:hAnsi="Times New Roman" w:cs="Times New Roman"/>
          <w:color w:val="auto"/>
          <w:sz w:val="44"/>
          <w:szCs w:val="44"/>
        </w:rPr>
      </w:pPr>
    </w:p>
    <w:p w14:paraId="5B623397">
      <w:pPr>
        <w:keepNext w:val="0"/>
        <w:keepLines w:val="0"/>
        <w:pageBreakBefore w:val="0"/>
        <w:widowControl w:val="0"/>
        <w:kinsoku/>
        <w:wordWrap/>
        <w:overflowPunct/>
        <w:topLinePunct w:val="0"/>
        <w:bidi w:val="0"/>
        <w:snapToGrid/>
        <w:spacing w:line="560" w:lineRule="exact"/>
        <w:ind w:firstLine="640" w:firstLineChars="200"/>
        <w:textAlignment w:val="auto"/>
        <w:rPr>
          <w:rFonts w:hint="default" w:ascii="Times New Roman" w:hAnsi="Times New Roman" w:cs="Times New Roman"/>
          <w:color w:val="auto"/>
          <w:sz w:val="32"/>
          <w:szCs w:val="32"/>
        </w:rPr>
      </w:pPr>
    </w:p>
    <w:p w14:paraId="370169AC">
      <w:pPr>
        <w:keepNext w:val="0"/>
        <w:keepLines w:val="0"/>
        <w:pageBreakBefore w:val="0"/>
        <w:widowControl w:val="0"/>
        <w:kinsoku/>
        <w:wordWrap/>
        <w:overflowPunct/>
        <w:topLinePunct w:val="0"/>
        <w:bidi w:val="0"/>
        <w:snapToGrid/>
        <w:spacing w:line="560" w:lineRule="exact"/>
        <w:ind w:firstLine="640" w:firstLineChars="200"/>
        <w:textAlignment w:val="auto"/>
        <w:rPr>
          <w:rFonts w:hint="default" w:ascii="Times New Roman" w:hAnsi="Times New Roman" w:cs="Times New Roman"/>
          <w:color w:val="auto"/>
          <w:sz w:val="32"/>
          <w:szCs w:val="32"/>
        </w:rPr>
      </w:pPr>
    </w:p>
    <w:p w14:paraId="6F8E9DF7">
      <w:pPr>
        <w:keepNext w:val="0"/>
        <w:keepLines w:val="0"/>
        <w:pageBreakBefore w:val="0"/>
        <w:widowControl w:val="0"/>
        <w:kinsoku/>
        <w:wordWrap/>
        <w:overflowPunct/>
        <w:topLinePunct w:val="0"/>
        <w:bidi w:val="0"/>
        <w:snapToGrid/>
        <w:spacing w:line="560" w:lineRule="exact"/>
        <w:ind w:firstLine="640" w:firstLineChars="200"/>
        <w:textAlignment w:val="auto"/>
        <w:rPr>
          <w:rFonts w:hint="default" w:ascii="Times New Roman" w:hAnsi="Times New Roman" w:cs="Times New Roman"/>
          <w:color w:val="auto"/>
          <w:sz w:val="32"/>
          <w:szCs w:val="32"/>
        </w:rPr>
      </w:pPr>
    </w:p>
    <w:p w14:paraId="0EFF381C">
      <w:pPr>
        <w:keepNext w:val="0"/>
        <w:keepLines w:val="0"/>
        <w:pageBreakBefore w:val="0"/>
        <w:widowControl w:val="0"/>
        <w:kinsoku/>
        <w:wordWrap/>
        <w:overflowPunct/>
        <w:topLinePunct w:val="0"/>
        <w:bidi w:val="0"/>
        <w:snapToGrid/>
        <w:spacing w:line="560" w:lineRule="exact"/>
        <w:ind w:firstLine="640" w:firstLineChars="200"/>
        <w:jc w:val="center"/>
        <w:textAlignment w:val="auto"/>
        <w:rPr>
          <w:rFonts w:hint="default" w:ascii="Times New Roman" w:hAnsi="Times New Roman" w:cs="Times New Roman"/>
          <w:color w:val="auto"/>
          <w:sz w:val="32"/>
          <w:szCs w:val="32"/>
        </w:rPr>
      </w:pPr>
    </w:p>
    <w:p w14:paraId="1C3E58FF">
      <w:pPr>
        <w:keepNext w:val="0"/>
        <w:keepLines w:val="0"/>
        <w:pageBreakBefore w:val="0"/>
        <w:widowControl w:val="0"/>
        <w:kinsoku/>
        <w:wordWrap/>
        <w:overflowPunct/>
        <w:topLinePunct w:val="0"/>
        <w:bidi w:val="0"/>
        <w:snapToGrid/>
        <w:spacing w:line="560" w:lineRule="exact"/>
        <w:ind w:firstLine="640" w:firstLineChars="200"/>
        <w:jc w:val="center"/>
        <w:textAlignment w:val="auto"/>
        <w:rPr>
          <w:rFonts w:hint="default" w:ascii="Times New Roman" w:hAnsi="Times New Roman" w:cs="Times New Roman"/>
          <w:color w:val="auto"/>
          <w:sz w:val="32"/>
          <w:szCs w:val="32"/>
        </w:rPr>
      </w:pPr>
    </w:p>
    <w:p w14:paraId="68CE0A8C">
      <w:pPr>
        <w:keepNext w:val="0"/>
        <w:keepLines w:val="0"/>
        <w:pageBreakBefore w:val="0"/>
        <w:widowControl w:val="0"/>
        <w:kinsoku/>
        <w:wordWrap/>
        <w:overflowPunct/>
        <w:topLinePunct w:val="0"/>
        <w:bidi w:val="0"/>
        <w:snapToGrid/>
        <w:spacing w:line="560" w:lineRule="exact"/>
        <w:ind w:firstLine="640" w:firstLineChars="200"/>
        <w:jc w:val="center"/>
        <w:textAlignment w:val="auto"/>
        <w:rPr>
          <w:rFonts w:hint="default" w:ascii="Times New Roman" w:hAnsi="Times New Roman" w:cs="Times New Roman"/>
          <w:color w:val="auto"/>
          <w:sz w:val="32"/>
          <w:szCs w:val="32"/>
        </w:rPr>
      </w:pPr>
    </w:p>
    <w:p w14:paraId="395A780D">
      <w:pPr>
        <w:keepNext w:val="0"/>
        <w:keepLines w:val="0"/>
        <w:pageBreakBefore w:val="0"/>
        <w:widowControl w:val="0"/>
        <w:kinsoku/>
        <w:wordWrap/>
        <w:overflowPunct/>
        <w:topLinePunct w:val="0"/>
        <w:bidi w:val="0"/>
        <w:snapToGrid/>
        <w:spacing w:line="560" w:lineRule="exact"/>
        <w:ind w:firstLine="640" w:firstLineChars="200"/>
        <w:jc w:val="center"/>
        <w:textAlignment w:val="auto"/>
        <w:rPr>
          <w:rFonts w:hint="default" w:ascii="Times New Roman" w:hAnsi="Times New Roman" w:cs="Times New Roman"/>
          <w:color w:val="auto"/>
          <w:sz w:val="32"/>
          <w:szCs w:val="32"/>
        </w:rPr>
      </w:pPr>
    </w:p>
    <w:p w14:paraId="622E5FAD">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hint="default" w:ascii="Times New Roman" w:hAnsi="Times New Roman" w:cs="Times New Roman"/>
          <w:color w:val="auto"/>
          <w:sz w:val="32"/>
          <w:szCs w:val="32"/>
        </w:rPr>
      </w:pPr>
      <w:r>
        <w:rPr>
          <w:rFonts w:hint="default" w:ascii="Times New Roman" w:hAnsi="Times New Roman" w:cs="Times New Roman"/>
          <w:color w:val="auto"/>
          <w:sz w:val="32"/>
          <w:szCs w:val="32"/>
        </w:rPr>
        <w:t>编制：</w:t>
      </w:r>
      <w:r>
        <w:rPr>
          <w:rFonts w:hint="default" w:ascii="Times New Roman" w:hAnsi="Times New Roman" w:cs="Times New Roman"/>
          <w:color w:val="auto"/>
          <w:sz w:val="32"/>
          <w:szCs w:val="32"/>
          <w:u w:val="single"/>
        </w:rPr>
        <w:t xml:space="preserve">        </w:t>
      </w:r>
      <w:r>
        <w:rPr>
          <w:rFonts w:hint="default" w:ascii="Times New Roman" w:hAnsi="Times New Roman" w:cs="Times New Roman"/>
          <w:color w:val="auto"/>
          <w:sz w:val="32"/>
          <w:szCs w:val="32"/>
        </w:rPr>
        <w:t xml:space="preserve"> 校对：</w:t>
      </w:r>
      <w:r>
        <w:rPr>
          <w:rFonts w:hint="default" w:ascii="Times New Roman" w:hAnsi="Times New Roman" w:cs="Times New Roman"/>
          <w:color w:val="auto"/>
          <w:sz w:val="32"/>
          <w:szCs w:val="32"/>
          <w:u w:val="single"/>
        </w:rPr>
        <w:t xml:space="preserve">        </w:t>
      </w:r>
      <w:r>
        <w:rPr>
          <w:rFonts w:hint="default" w:ascii="Times New Roman" w:hAnsi="Times New Roman" w:cs="Times New Roman"/>
          <w:color w:val="auto"/>
          <w:sz w:val="32"/>
          <w:szCs w:val="32"/>
        </w:rPr>
        <w:t xml:space="preserve"> 审批：</w:t>
      </w:r>
      <w:r>
        <w:rPr>
          <w:rFonts w:hint="eastAsia" w:ascii="Times New Roman" w:hAnsi="Times New Roman" w:cs="Times New Roman"/>
          <w:color w:val="auto"/>
          <w:sz w:val="32"/>
          <w:szCs w:val="32"/>
          <w:u w:val="single"/>
          <w:lang w:val="en-US" w:eastAsia="zh-CN"/>
        </w:rPr>
        <w:t xml:space="preserve">           </w:t>
      </w:r>
      <w:r>
        <w:rPr>
          <w:rFonts w:hint="default" w:ascii="Times New Roman" w:hAnsi="Times New Roman" w:cs="Times New Roman"/>
          <w:color w:val="auto"/>
          <w:sz w:val="32"/>
          <w:szCs w:val="32"/>
        </w:rPr>
        <w:t xml:space="preserve">                               </w:t>
      </w:r>
    </w:p>
    <w:p w14:paraId="12F37A01">
      <w:pPr>
        <w:spacing w:line="560" w:lineRule="exact"/>
        <w:ind w:firstLine="705" w:firstLineChars="195"/>
        <w:jc w:val="center"/>
        <w:rPr>
          <w:rFonts w:hint="eastAsia" w:asciiTheme="majorEastAsia" w:hAnsiTheme="majorEastAsia" w:eastAsiaTheme="majorEastAsia"/>
          <w:b/>
          <w:bCs/>
          <w:sz w:val="36"/>
          <w:szCs w:val="36"/>
        </w:rPr>
        <w:sectPr>
          <w:pgSz w:w="11906" w:h="16838"/>
          <w:pgMar w:top="1440" w:right="1080" w:bottom="1440" w:left="1080" w:header="851" w:footer="992" w:gutter="0"/>
          <w:cols w:space="425" w:num="1"/>
          <w:docGrid w:type="lines" w:linePitch="312" w:charSpace="0"/>
        </w:sectPr>
      </w:pPr>
    </w:p>
    <w:p w14:paraId="2784861E">
      <w:pPr>
        <w:spacing w:line="560" w:lineRule="exact"/>
        <w:ind w:firstLine="705" w:firstLineChars="195"/>
        <w:jc w:val="center"/>
        <w:rPr>
          <w:rFonts w:ascii="仿宋" w:hAnsi="仿宋" w:eastAsia="仿宋"/>
          <w:sz w:val="30"/>
          <w:szCs w:val="30"/>
        </w:rPr>
      </w:pPr>
      <w:r>
        <w:rPr>
          <w:rFonts w:hint="eastAsia" w:asciiTheme="majorEastAsia" w:hAnsiTheme="majorEastAsia" w:eastAsiaTheme="majorEastAsia"/>
          <w:b/>
          <w:bCs/>
          <w:sz w:val="36"/>
          <w:szCs w:val="36"/>
        </w:rPr>
        <w:t>煤矿井下假顶用塑料编织布技术规格书</w:t>
      </w:r>
    </w:p>
    <w:p w14:paraId="68C736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sz w:val="32"/>
          <w:szCs w:val="32"/>
        </w:rPr>
      </w:pPr>
      <w:r>
        <w:rPr>
          <w:rFonts w:hint="eastAsia" w:ascii="黑体" w:eastAsia="黑体"/>
          <w:sz w:val="32"/>
          <w:szCs w:val="32"/>
        </w:rPr>
        <w:t>一、项目概况及招标范围</w:t>
      </w:r>
    </w:p>
    <w:p w14:paraId="34E8E1CB">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sz w:val="30"/>
          <w:szCs w:val="30"/>
        </w:rPr>
      </w:pPr>
      <w:r>
        <w:rPr>
          <w:rFonts w:hint="eastAsia" w:ascii="仿宋" w:hAnsi="仿宋" w:eastAsia="仿宋"/>
          <w:sz w:val="30"/>
          <w:szCs w:val="30"/>
        </w:rPr>
        <w:t>1.项目概况：本产品由阻燃、抗静电材料经机械编织，四周置以边绳进行包边加强，单层或多层结构，尺寸可调。适用于井下中厚煤层分层开采设施假顶或单层破碎顶板条件下的开采护顶以及巷道支护和放顶支护。</w:t>
      </w:r>
    </w:p>
    <w:p w14:paraId="399F7E5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sz w:val="30"/>
          <w:szCs w:val="30"/>
        </w:rPr>
      </w:pPr>
      <w:r>
        <w:rPr>
          <w:rFonts w:hint="eastAsia" w:ascii="仿宋" w:hAnsi="仿宋" w:eastAsia="仿宋"/>
          <w:sz w:val="30"/>
          <w:szCs w:val="30"/>
          <w:lang w:val="en-US" w:eastAsia="zh-CN"/>
        </w:rPr>
        <w:t>2</w:t>
      </w:r>
      <w:r>
        <w:rPr>
          <w:rFonts w:hint="eastAsia" w:ascii="仿宋" w:hAnsi="仿宋" w:eastAsia="仿宋"/>
          <w:sz w:val="30"/>
          <w:szCs w:val="30"/>
        </w:rPr>
        <w:t>.招标范围：煤矿井下假顶用塑料编织布JB-PP-4-S</w:t>
      </w:r>
      <w:r>
        <w:rPr>
          <w:rFonts w:hint="eastAsia" w:ascii="仿宋" w:hAnsi="仿宋" w:eastAsia="仿宋"/>
          <w:sz w:val="30"/>
          <w:szCs w:val="30"/>
          <w:lang w:eastAsia="zh-CN"/>
        </w:rPr>
        <w:t>，</w:t>
      </w:r>
      <w:r>
        <w:rPr>
          <w:rFonts w:hint="eastAsia" w:ascii="仿宋" w:hAnsi="仿宋" w:eastAsia="仿宋"/>
          <w:sz w:val="30"/>
          <w:szCs w:val="30"/>
          <w:lang w:val="en-US" w:eastAsia="zh-CN"/>
        </w:rPr>
        <w:t>详见招标明细</w:t>
      </w:r>
      <w:r>
        <w:rPr>
          <w:rFonts w:hint="eastAsia" w:ascii="仿宋" w:hAnsi="仿宋" w:eastAsia="仿宋"/>
          <w:sz w:val="30"/>
          <w:szCs w:val="30"/>
        </w:rPr>
        <w:t>。</w:t>
      </w:r>
    </w:p>
    <w:p w14:paraId="5A5C5402">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_GB2312" w:hAnsi="仿宋_GB2312" w:eastAsia="仿宋_GB2312" w:cs="仿宋_GB2312"/>
          <w:b/>
          <w:bCs/>
          <w:sz w:val="30"/>
          <w:szCs w:val="30"/>
          <w:u w:val="none"/>
          <w:lang w:val="en-US" w:eastAsia="zh-CN"/>
        </w:rPr>
      </w:pPr>
      <w:r>
        <w:rPr>
          <w:rFonts w:hint="eastAsia" w:ascii="仿宋_GB2312" w:hAnsi="仿宋_GB2312" w:eastAsia="仿宋_GB2312" w:cs="仿宋_GB2312"/>
          <w:b/>
          <w:bCs/>
          <w:sz w:val="30"/>
          <w:szCs w:val="30"/>
          <w:u w:val="none"/>
          <w:lang w:val="en-US" w:eastAsia="zh-CN"/>
        </w:rPr>
        <w:t>本项目为框架招标，招标所列数量仅作为报价和授标依据，采购数量以淮北矿业需求计划为准，采购单价以中标单价为准。签订合同时以标段为单位，招标结果执行时间止或标段合同总金额达到中标总金额时，该标段采购自动终止。</w:t>
      </w:r>
    </w:p>
    <w:p w14:paraId="7A5B58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eastAsia="黑体"/>
          <w:sz w:val="32"/>
          <w:szCs w:val="32"/>
        </w:rPr>
      </w:pPr>
      <w:r>
        <w:rPr>
          <w:rFonts w:hint="eastAsia" w:ascii="黑体" w:eastAsia="黑体"/>
          <w:sz w:val="32"/>
          <w:szCs w:val="32"/>
        </w:rPr>
        <w:t>二、技术要求及主要技术参数</w:t>
      </w:r>
    </w:p>
    <w:p w14:paraId="403377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Times New Roman" w:eastAsia="黑体" w:cs="黑体"/>
          <w:sz w:val="32"/>
          <w:szCs w:val="32"/>
        </w:rPr>
      </w:pPr>
      <w:r>
        <w:rPr>
          <w:rFonts w:hint="eastAsia" w:ascii="黑体" w:hAnsi="Times New Roman" w:eastAsia="黑体" w:cs="黑体"/>
          <w:sz w:val="32"/>
          <w:szCs w:val="32"/>
        </w:rPr>
        <w:t>执行标准：</w:t>
      </w:r>
      <w:r>
        <w:rPr>
          <w:rFonts w:hint="eastAsia" w:ascii="仿宋_GB2312" w:hAnsi="仿宋_GB2312" w:eastAsia="仿宋_GB2312" w:cs="仿宋_GB2312"/>
          <w:bCs/>
          <w:sz w:val="32"/>
          <w:szCs w:val="32"/>
        </w:rPr>
        <w:t>MT113-1995、MT/T 960—2005</w:t>
      </w:r>
      <w:r>
        <w:rPr>
          <w:rFonts w:hint="eastAsia" w:ascii="宋体" w:hAnsi="宋体" w:cs="Times New Roman"/>
          <w:sz w:val="32"/>
          <w:szCs w:val="32"/>
        </w:rPr>
        <w:t>。</w:t>
      </w:r>
    </w:p>
    <w:p w14:paraId="254CD0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宋体" w:hAnsi="宋体" w:cs="Times New Roman"/>
          <w:b/>
          <w:sz w:val="32"/>
          <w:szCs w:val="32"/>
        </w:rPr>
      </w:pPr>
      <w:r>
        <w:rPr>
          <w:rFonts w:hint="eastAsia" w:ascii="宋体" w:hAnsi="宋体" w:cs="Times New Roman"/>
          <w:b/>
          <w:sz w:val="32"/>
          <w:szCs w:val="32"/>
        </w:rPr>
        <w:t>主要技术参数</w:t>
      </w:r>
    </w:p>
    <w:p w14:paraId="1D1FA38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ascii="仿宋_GB2312" w:eastAsia="仿宋_GB2312"/>
          <w:bCs/>
          <w:sz w:val="28"/>
          <w:szCs w:val="28"/>
        </w:rPr>
      </w:pPr>
      <w:r>
        <w:rPr>
          <w:rFonts w:hint="eastAsia" w:ascii="仿宋_GB2312" w:hAnsi="仿宋_GB2312" w:eastAsia="仿宋_GB2312" w:cs="仿宋_GB2312"/>
          <w:color w:val="000000"/>
          <w:sz w:val="28"/>
          <w:szCs w:val="28"/>
        </w:rPr>
        <w:t>1.</w:t>
      </w:r>
      <w:r>
        <w:rPr>
          <w:rFonts w:hint="eastAsia" w:ascii="仿宋_GB2312" w:eastAsia="仿宋_GB2312"/>
          <w:bCs/>
          <w:sz w:val="28"/>
          <w:szCs w:val="28"/>
        </w:rPr>
        <w:t>拉伸强度</w:t>
      </w:r>
    </w:p>
    <w:p w14:paraId="75714318">
      <w:pPr>
        <w:spacing w:after="120"/>
        <w:jc w:val="center"/>
        <w:rPr>
          <w:szCs w:val="22"/>
        </w:rPr>
      </w:pPr>
      <w:r>
        <w:rPr>
          <w:rFonts w:hint="eastAsia"/>
          <w:szCs w:val="22"/>
        </w:rPr>
        <w:t>单层编织布拉伸强度         单位：N/mm</w:t>
      </w:r>
    </w:p>
    <w:tbl>
      <w:tblPr>
        <w:tblStyle w:val="11"/>
        <w:tblW w:w="87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2340"/>
        <w:gridCol w:w="3681"/>
      </w:tblGrid>
      <w:tr w14:paraId="24D07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040" w:type="dxa"/>
            <w:gridSpan w:val="2"/>
            <w:shd w:val="clear" w:color="auto" w:fill="auto"/>
          </w:tcPr>
          <w:p w14:paraId="775AF371">
            <w:pPr>
              <w:jc w:val="center"/>
              <w:rPr>
                <w:szCs w:val="22"/>
              </w:rPr>
            </w:pPr>
            <w:r>
              <w:rPr>
                <w:rFonts w:hint="eastAsia"/>
                <w:szCs w:val="22"/>
              </w:rPr>
              <w:t>项  目</w:t>
            </w:r>
          </w:p>
        </w:tc>
        <w:tc>
          <w:tcPr>
            <w:tcW w:w="3681" w:type="dxa"/>
            <w:shd w:val="clear" w:color="auto" w:fill="auto"/>
          </w:tcPr>
          <w:p w14:paraId="3FEA99F8">
            <w:pPr>
              <w:jc w:val="center"/>
              <w:rPr>
                <w:szCs w:val="22"/>
              </w:rPr>
            </w:pPr>
            <w:r>
              <w:rPr>
                <w:rFonts w:hint="eastAsia"/>
                <w:szCs w:val="22"/>
              </w:rPr>
              <w:t>指  标</w:t>
            </w:r>
          </w:p>
        </w:tc>
      </w:tr>
      <w:tr w14:paraId="5477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700" w:type="dxa"/>
            <w:vMerge w:val="restart"/>
            <w:shd w:val="clear" w:color="auto" w:fill="auto"/>
            <w:vAlign w:val="center"/>
          </w:tcPr>
          <w:p w14:paraId="4C610980">
            <w:pPr>
              <w:jc w:val="center"/>
              <w:rPr>
                <w:szCs w:val="22"/>
              </w:rPr>
            </w:pPr>
            <w:r>
              <w:rPr>
                <w:rFonts w:hint="eastAsia"/>
                <w:szCs w:val="22"/>
              </w:rPr>
              <w:t>单层编织布拉伸强度</w:t>
            </w:r>
          </w:p>
        </w:tc>
        <w:tc>
          <w:tcPr>
            <w:tcW w:w="2340" w:type="dxa"/>
            <w:shd w:val="clear" w:color="auto" w:fill="auto"/>
            <w:vAlign w:val="center"/>
          </w:tcPr>
          <w:p w14:paraId="3D119B28">
            <w:pPr>
              <w:jc w:val="center"/>
              <w:rPr>
                <w:szCs w:val="22"/>
              </w:rPr>
            </w:pPr>
            <w:r>
              <w:rPr>
                <w:rFonts w:hint="eastAsia"/>
                <w:szCs w:val="22"/>
              </w:rPr>
              <w:t>经向</w:t>
            </w:r>
          </w:p>
        </w:tc>
        <w:tc>
          <w:tcPr>
            <w:tcW w:w="3681" w:type="dxa"/>
            <w:shd w:val="clear" w:color="auto" w:fill="auto"/>
            <w:vAlign w:val="center"/>
          </w:tcPr>
          <w:p w14:paraId="2B1A50B9">
            <w:pPr>
              <w:jc w:val="center"/>
              <w:rPr>
                <w:szCs w:val="22"/>
              </w:rPr>
            </w:pPr>
            <w:r>
              <w:rPr>
                <w:rFonts w:hint="eastAsia"/>
                <w:szCs w:val="22"/>
              </w:rPr>
              <w:t>≥16</w:t>
            </w:r>
          </w:p>
        </w:tc>
      </w:tr>
      <w:tr w14:paraId="3CEC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700" w:type="dxa"/>
            <w:vMerge w:val="continue"/>
            <w:shd w:val="clear" w:color="auto" w:fill="auto"/>
            <w:vAlign w:val="center"/>
          </w:tcPr>
          <w:p w14:paraId="4A3B705C">
            <w:pPr>
              <w:jc w:val="center"/>
              <w:rPr>
                <w:szCs w:val="22"/>
              </w:rPr>
            </w:pPr>
          </w:p>
        </w:tc>
        <w:tc>
          <w:tcPr>
            <w:tcW w:w="2340" w:type="dxa"/>
            <w:shd w:val="clear" w:color="auto" w:fill="auto"/>
            <w:vAlign w:val="center"/>
          </w:tcPr>
          <w:p w14:paraId="7F6E62A1">
            <w:pPr>
              <w:jc w:val="center"/>
              <w:rPr>
                <w:szCs w:val="22"/>
              </w:rPr>
            </w:pPr>
            <w:r>
              <w:rPr>
                <w:rFonts w:hint="eastAsia"/>
                <w:szCs w:val="22"/>
              </w:rPr>
              <w:t>纬向</w:t>
            </w:r>
          </w:p>
        </w:tc>
        <w:tc>
          <w:tcPr>
            <w:tcW w:w="3681" w:type="dxa"/>
            <w:shd w:val="clear" w:color="auto" w:fill="auto"/>
            <w:vAlign w:val="center"/>
          </w:tcPr>
          <w:p w14:paraId="3B2FB857">
            <w:pPr>
              <w:jc w:val="center"/>
              <w:rPr>
                <w:szCs w:val="22"/>
              </w:rPr>
            </w:pPr>
            <w:r>
              <w:rPr>
                <w:rFonts w:hint="eastAsia"/>
                <w:szCs w:val="22"/>
              </w:rPr>
              <w:t>≥16</w:t>
            </w:r>
          </w:p>
        </w:tc>
      </w:tr>
    </w:tbl>
    <w:p w14:paraId="45B25BA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2.表面电阻：上、下表面电阻算术平均值不大于1×10</w:t>
      </w:r>
      <w:r>
        <w:rPr>
          <w:rFonts w:hint="eastAsia" w:ascii="仿宋_GB2312" w:hAnsi="仿宋_GB2312" w:eastAsia="仿宋_GB2312" w:cs="仿宋_GB2312"/>
          <w:color w:val="000000"/>
          <w:sz w:val="28"/>
          <w:szCs w:val="28"/>
          <w:vertAlign w:val="superscript"/>
        </w:rPr>
        <w:t>9</w:t>
      </w:r>
      <w:r>
        <w:rPr>
          <w:rFonts w:hint="eastAsia" w:ascii="仿宋_GB2312" w:hAnsi="仿宋_GB2312" w:eastAsia="仿宋_GB2312" w:cs="仿宋_GB2312"/>
          <w:color w:val="000000"/>
          <w:sz w:val="28"/>
          <w:szCs w:val="28"/>
        </w:rPr>
        <w:t>Ω。</w:t>
      </w:r>
    </w:p>
    <w:p w14:paraId="412B32E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3.阻燃性能</w:t>
      </w:r>
    </w:p>
    <w:p w14:paraId="0328DCDF">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szCs w:val="22"/>
        </w:rPr>
      </w:pPr>
      <w:r>
        <w:rPr>
          <w:rFonts w:hint="eastAsia"/>
          <w:szCs w:val="22"/>
        </w:rPr>
        <w:t xml:space="preserve">   单层编织布的酒精喷灯及酒精灯燃烧性能           单位：s</w:t>
      </w:r>
    </w:p>
    <w:tbl>
      <w:tblPr>
        <w:tblStyle w:val="11"/>
        <w:tblW w:w="9277"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928"/>
        <w:gridCol w:w="2102"/>
        <w:gridCol w:w="2102"/>
        <w:gridCol w:w="1885"/>
      </w:tblGrid>
      <w:tr w14:paraId="5090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260" w:type="dxa"/>
            <w:vAlign w:val="center"/>
          </w:tcPr>
          <w:p w14:paraId="4B3B6658">
            <w:pPr>
              <w:jc w:val="center"/>
              <w:rPr>
                <w:szCs w:val="22"/>
              </w:rPr>
            </w:pPr>
            <w:r>
              <w:rPr>
                <w:rFonts w:hint="eastAsia"/>
                <w:szCs w:val="22"/>
              </w:rPr>
              <w:t>设备名称</w:t>
            </w:r>
          </w:p>
        </w:tc>
        <w:tc>
          <w:tcPr>
            <w:tcW w:w="1928" w:type="dxa"/>
            <w:vAlign w:val="center"/>
          </w:tcPr>
          <w:p w14:paraId="71CF250F">
            <w:pPr>
              <w:jc w:val="center"/>
              <w:rPr>
                <w:sz w:val="18"/>
                <w:szCs w:val="18"/>
              </w:rPr>
            </w:pPr>
            <w:r>
              <w:rPr>
                <w:rFonts w:hint="eastAsia"/>
                <w:sz w:val="18"/>
                <w:szCs w:val="18"/>
              </w:rPr>
              <w:t>有焰燃烧时间平均值</w:t>
            </w:r>
          </w:p>
        </w:tc>
        <w:tc>
          <w:tcPr>
            <w:tcW w:w="2102" w:type="dxa"/>
            <w:vAlign w:val="center"/>
          </w:tcPr>
          <w:p w14:paraId="4BD427C1">
            <w:pPr>
              <w:jc w:val="center"/>
              <w:rPr>
                <w:sz w:val="18"/>
                <w:szCs w:val="18"/>
              </w:rPr>
            </w:pPr>
            <w:r>
              <w:rPr>
                <w:rFonts w:hint="eastAsia"/>
                <w:sz w:val="18"/>
                <w:szCs w:val="18"/>
              </w:rPr>
              <w:t>有焰燃烧时间最大值</w:t>
            </w:r>
          </w:p>
        </w:tc>
        <w:tc>
          <w:tcPr>
            <w:tcW w:w="2102" w:type="dxa"/>
            <w:vAlign w:val="center"/>
          </w:tcPr>
          <w:p w14:paraId="0BEC1B5D">
            <w:pPr>
              <w:jc w:val="center"/>
              <w:rPr>
                <w:sz w:val="18"/>
                <w:szCs w:val="18"/>
              </w:rPr>
            </w:pPr>
            <w:r>
              <w:rPr>
                <w:rFonts w:hint="eastAsia"/>
                <w:sz w:val="18"/>
                <w:szCs w:val="18"/>
              </w:rPr>
              <w:t>无焰燃烧时间平均值</w:t>
            </w:r>
          </w:p>
        </w:tc>
        <w:tc>
          <w:tcPr>
            <w:tcW w:w="1885" w:type="dxa"/>
            <w:vAlign w:val="center"/>
          </w:tcPr>
          <w:p w14:paraId="68832872">
            <w:pPr>
              <w:jc w:val="center"/>
              <w:rPr>
                <w:sz w:val="18"/>
                <w:szCs w:val="18"/>
              </w:rPr>
            </w:pPr>
            <w:r>
              <w:rPr>
                <w:rFonts w:hint="eastAsia"/>
                <w:sz w:val="18"/>
                <w:szCs w:val="18"/>
              </w:rPr>
              <w:t>无焰燃烧时间最大值</w:t>
            </w:r>
          </w:p>
        </w:tc>
      </w:tr>
      <w:tr w14:paraId="3719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260" w:type="dxa"/>
            <w:vAlign w:val="center"/>
          </w:tcPr>
          <w:p w14:paraId="61009703">
            <w:pPr>
              <w:jc w:val="center"/>
              <w:rPr>
                <w:szCs w:val="22"/>
              </w:rPr>
            </w:pPr>
            <w:r>
              <w:rPr>
                <w:rFonts w:hint="eastAsia"/>
                <w:szCs w:val="22"/>
              </w:rPr>
              <w:t>酒精喷灯</w:t>
            </w:r>
          </w:p>
        </w:tc>
        <w:tc>
          <w:tcPr>
            <w:tcW w:w="1928" w:type="dxa"/>
            <w:vAlign w:val="center"/>
          </w:tcPr>
          <w:p w14:paraId="43ECEF00">
            <w:pPr>
              <w:jc w:val="center"/>
              <w:rPr>
                <w:szCs w:val="22"/>
              </w:rPr>
            </w:pPr>
            <w:r>
              <w:rPr>
                <w:rFonts w:hint="eastAsia"/>
                <w:szCs w:val="22"/>
              </w:rPr>
              <w:t>≤3</w:t>
            </w:r>
          </w:p>
        </w:tc>
        <w:tc>
          <w:tcPr>
            <w:tcW w:w="2102" w:type="dxa"/>
            <w:vAlign w:val="center"/>
          </w:tcPr>
          <w:p w14:paraId="4F735845">
            <w:pPr>
              <w:jc w:val="center"/>
              <w:rPr>
                <w:szCs w:val="22"/>
              </w:rPr>
            </w:pPr>
            <w:r>
              <w:rPr>
                <w:rFonts w:hint="eastAsia"/>
                <w:szCs w:val="22"/>
              </w:rPr>
              <w:t>≤10</w:t>
            </w:r>
          </w:p>
        </w:tc>
        <w:tc>
          <w:tcPr>
            <w:tcW w:w="2102" w:type="dxa"/>
            <w:vAlign w:val="center"/>
          </w:tcPr>
          <w:p w14:paraId="7AAD2E90">
            <w:pPr>
              <w:jc w:val="center"/>
              <w:rPr>
                <w:szCs w:val="22"/>
              </w:rPr>
            </w:pPr>
            <w:r>
              <w:rPr>
                <w:rFonts w:hint="eastAsia"/>
                <w:szCs w:val="22"/>
              </w:rPr>
              <w:t>≤10</w:t>
            </w:r>
          </w:p>
        </w:tc>
        <w:tc>
          <w:tcPr>
            <w:tcW w:w="1885" w:type="dxa"/>
            <w:vAlign w:val="center"/>
          </w:tcPr>
          <w:p w14:paraId="7CD97D90">
            <w:pPr>
              <w:jc w:val="center"/>
              <w:rPr>
                <w:szCs w:val="22"/>
              </w:rPr>
            </w:pPr>
            <w:r>
              <w:rPr>
                <w:rFonts w:hint="eastAsia"/>
                <w:szCs w:val="22"/>
              </w:rPr>
              <w:t>≤30</w:t>
            </w:r>
          </w:p>
        </w:tc>
      </w:tr>
      <w:tr w14:paraId="21B4C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260" w:type="dxa"/>
            <w:vAlign w:val="center"/>
          </w:tcPr>
          <w:p w14:paraId="1279589F">
            <w:pPr>
              <w:jc w:val="center"/>
              <w:rPr>
                <w:szCs w:val="22"/>
              </w:rPr>
            </w:pPr>
            <w:r>
              <w:rPr>
                <w:rFonts w:hint="eastAsia"/>
                <w:szCs w:val="22"/>
              </w:rPr>
              <w:t>酒 精 灯</w:t>
            </w:r>
          </w:p>
        </w:tc>
        <w:tc>
          <w:tcPr>
            <w:tcW w:w="1928" w:type="dxa"/>
            <w:vAlign w:val="center"/>
          </w:tcPr>
          <w:p w14:paraId="4201188A">
            <w:pPr>
              <w:jc w:val="center"/>
              <w:rPr>
                <w:szCs w:val="22"/>
              </w:rPr>
            </w:pPr>
            <w:r>
              <w:rPr>
                <w:rFonts w:hint="eastAsia"/>
                <w:szCs w:val="22"/>
              </w:rPr>
              <w:t>≤6</w:t>
            </w:r>
          </w:p>
        </w:tc>
        <w:tc>
          <w:tcPr>
            <w:tcW w:w="2102" w:type="dxa"/>
            <w:vAlign w:val="center"/>
          </w:tcPr>
          <w:p w14:paraId="7915A682">
            <w:pPr>
              <w:jc w:val="center"/>
              <w:rPr>
                <w:szCs w:val="22"/>
              </w:rPr>
            </w:pPr>
            <w:r>
              <w:rPr>
                <w:rFonts w:hint="eastAsia"/>
                <w:szCs w:val="22"/>
              </w:rPr>
              <w:t>≤10</w:t>
            </w:r>
          </w:p>
        </w:tc>
        <w:tc>
          <w:tcPr>
            <w:tcW w:w="2102" w:type="dxa"/>
            <w:vAlign w:val="center"/>
          </w:tcPr>
          <w:p w14:paraId="68F6DCD8">
            <w:pPr>
              <w:jc w:val="center"/>
              <w:rPr>
                <w:szCs w:val="22"/>
              </w:rPr>
            </w:pPr>
            <w:r>
              <w:rPr>
                <w:rFonts w:hint="eastAsia"/>
                <w:szCs w:val="22"/>
              </w:rPr>
              <w:t>≤20</w:t>
            </w:r>
          </w:p>
        </w:tc>
        <w:tc>
          <w:tcPr>
            <w:tcW w:w="1885" w:type="dxa"/>
            <w:vAlign w:val="center"/>
          </w:tcPr>
          <w:p w14:paraId="65A4888C">
            <w:pPr>
              <w:jc w:val="center"/>
              <w:rPr>
                <w:szCs w:val="22"/>
              </w:rPr>
            </w:pPr>
            <w:r>
              <w:rPr>
                <w:rFonts w:hint="eastAsia"/>
                <w:szCs w:val="22"/>
              </w:rPr>
              <w:t>≤60</w:t>
            </w:r>
          </w:p>
        </w:tc>
      </w:tr>
    </w:tbl>
    <w:p w14:paraId="28F4803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4.边绳性能</w:t>
      </w:r>
    </w:p>
    <w:p w14:paraId="34538B1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边绳同等材质的样品上、下表面电阻算术平均值不大于1×10</w:t>
      </w:r>
      <w:r>
        <w:rPr>
          <w:rFonts w:hint="eastAsia" w:ascii="仿宋_GB2312" w:hAnsi="仿宋_GB2312" w:eastAsia="仿宋_GB2312" w:cs="仿宋_GB2312"/>
          <w:color w:val="000000"/>
          <w:sz w:val="28"/>
          <w:szCs w:val="28"/>
          <w:vertAlign w:val="superscript"/>
        </w:rPr>
        <w:t>9</w:t>
      </w:r>
      <w:r>
        <w:rPr>
          <w:rFonts w:hint="eastAsia" w:ascii="仿宋_GB2312" w:hAnsi="仿宋_GB2312" w:eastAsia="仿宋_GB2312" w:cs="仿宋_GB2312"/>
          <w:color w:val="000000"/>
          <w:sz w:val="28"/>
          <w:szCs w:val="28"/>
        </w:rPr>
        <w:t>Ω，边绳单根拉断力不小于3000N。</w:t>
      </w:r>
    </w:p>
    <w:p w14:paraId="528CA27C">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szCs w:val="22"/>
        </w:rPr>
      </w:pPr>
      <w:r>
        <w:rPr>
          <w:rFonts w:hint="eastAsia"/>
          <w:szCs w:val="22"/>
        </w:rPr>
        <w:t>边绳的酒精喷灯及酒精灯燃烧性能           单位：s</w:t>
      </w:r>
    </w:p>
    <w:tbl>
      <w:tblPr>
        <w:tblStyle w:val="11"/>
        <w:tblW w:w="9391"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928"/>
        <w:gridCol w:w="2102"/>
        <w:gridCol w:w="2102"/>
        <w:gridCol w:w="1999"/>
      </w:tblGrid>
      <w:tr w14:paraId="1E14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260" w:type="dxa"/>
            <w:vAlign w:val="center"/>
          </w:tcPr>
          <w:p w14:paraId="76C7959C">
            <w:pPr>
              <w:jc w:val="center"/>
              <w:rPr>
                <w:szCs w:val="22"/>
              </w:rPr>
            </w:pPr>
            <w:r>
              <w:rPr>
                <w:rFonts w:hint="eastAsia"/>
                <w:szCs w:val="22"/>
              </w:rPr>
              <w:t>设备名称</w:t>
            </w:r>
          </w:p>
        </w:tc>
        <w:tc>
          <w:tcPr>
            <w:tcW w:w="1928" w:type="dxa"/>
            <w:vAlign w:val="center"/>
          </w:tcPr>
          <w:p w14:paraId="65845016">
            <w:pPr>
              <w:jc w:val="center"/>
              <w:rPr>
                <w:sz w:val="18"/>
                <w:szCs w:val="18"/>
              </w:rPr>
            </w:pPr>
            <w:r>
              <w:rPr>
                <w:rFonts w:hint="eastAsia"/>
                <w:sz w:val="18"/>
                <w:szCs w:val="18"/>
              </w:rPr>
              <w:t>有焰燃烧时间平均值</w:t>
            </w:r>
          </w:p>
        </w:tc>
        <w:tc>
          <w:tcPr>
            <w:tcW w:w="2102" w:type="dxa"/>
            <w:vAlign w:val="center"/>
          </w:tcPr>
          <w:p w14:paraId="6EAF6007">
            <w:pPr>
              <w:jc w:val="center"/>
              <w:rPr>
                <w:sz w:val="18"/>
                <w:szCs w:val="18"/>
              </w:rPr>
            </w:pPr>
            <w:r>
              <w:rPr>
                <w:rFonts w:hint="eastAsia"/>
                <w:sz w:val="18"/>
                <w:szCs w:val="18"/>
              </w:rPr>
              <w:t>有焰燃烧时间最大值</w:t>
            </w:r>
          </w:p>
        </w:tc>
        <w:tc>
          <w:tcPr>
            <w:tcW w:w="2102" w:type="dxa"/>
            <w:vAlign w:val="center"/>
          </w:tcPr>
          <w:p w14:paraId="2ACE26E1">
            <w:pPr>
              <w:jc w:val="center"/>
              <w:rPr>
                <w:sz w:val="18"/>
                <w:szCs w:val="18"/>
              </w:rPr>
            </w:pPr>
            <w:r>
              <w:rPr>
                <w:rFonts w:hint="eastAsia"/>
                <w:sz w:val="18"/>
                <w:szCs w:val="18"/>
              </w:rPr>
              <w:t>无焰燃烧时间平均值</w:t>
            </w:r>
          </w:p>
        </w:tc>
        <w:tc>
          <w:tcPr>
            <w:tcW w:w="1999" w:type="dxa"/>
            <w:vAlign w:val="center"/>
          </w:tcPr>
          <w:p w14:paraId="306A7C9A">
            <w:pPr>
              <w:jc w:val="center"/>
              <w:rPr>
                <w:sz w:val="18"/>
                <w:szCs w:val="18"/>
              </w:rPr>
            </w:pPr>
            <w:r>
              <w:rPr>
                <w:rFonts w:hint="eastAsia"/>
                <w:sz w:val="18"/>
                <w:szCs w:val="18"/>
              </w:rPr>
              <w:t>无焰燃烧时间最大值</w:t>
            </w:r>
          </w:p>
        </w:tc>
      </w:tr>
      <w:tr w14:paraId="41B2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260" w:type="dxa"/>
            <w:vAlign w:val="center"/>
          </w:tcPr>
          <w:p w14:paraId="1E92C55C">
            <w:pPr>
              <w:jc w:val="center"/>
              <w:rPr>
                <w:szCs w:val="22"/>
              </w:rPr>
            </w:pPr>
            <w:r>
              <w:rPr>
                <w:rFonts w:hint="eastAsia"/>
                <w:szCs w:val="22"/>
              </w:rPr>
              <w:t>酒精喷灯</w:t>
            </w:r>
          </w:p>
        </w:tc>
        <w:tc>
          <w:tcPr>
            <w:tcW w:w="1928" w:type="dxa"/>
            <w:vAlign w:val="center"/>
          </w:tcPr>
          <w:p w14:paraId="61ABE327">
            <w:pPr>
              <w:jc w:val="center"/>
              <w:rPr>
                <w:szCs w:val="22"/>
              </w:rPr>
            </w:pPr>
            <w:r>
              <w:rPr>
                <w:rFonts w:hint="eastAsia"/>
                <w:szCs w:val="22"/>
              </w:rPr>
              <w:t>≤3</w:t>
            </w:r>
          </w:p>
        </w:tc>
        <w:tc>
          <w:tcPr>
            <w:tcW w:w="2102" w:type="dxa"/>
            <w:vAlign w:val="center"/>
          </w:tcPr>
          <w:p w14:paraId="6546AEA8">
            <w:pPr>
              <w:jc w:val="center"/>
              <w:rPr>
                <w:szCs w:val="22"/>
              </w:rPr>
            </w:pPr>
            <w:r>
              <w:rPr>
                <w:rFonts w:hint="eastAsia"/>
                <w:szCs w:val="22"/>
              </w:rPr>
              <w:t>≤10</w:t>
            </w:r>
          </w:p>
        </w:tc>
        <w:tc>
          <w:tcPr>
            <w:tcW w:w="2102" w:type="dxa"/>
            <w:vAlign w:val="center"/>
          </w:tcPr>
          <w:p w14:paraId="01B8EE09">
            <w:pPr>
              <w:jc w:val="center"/>
              <w:rPr>
                <w:szCs w:val="22"/>
              </w:rPr>
            </w:pPr>
            <w:r>
              <w:rPr>
                <w:rFonts w:hint="eastAsia"/>
                <w:szCs w:val="22"/>
              </w:rPr>
              <w:t>≤10</w:t>
            </w:r>
          </w:p>
        </w:tc>
        <w:tc>
          <w:tcPr>
            <w:tcW w:w="1999" w:type="dxa"/>
            <w:vAlign w:val="center"/>
          </w:tcPr>
          <w:p w14:paraId="1EA9BF2F">
            <w:pPr>
              <w:jc w:val="center"/>
              <w:rPr>
                <w:szCs w:val="22"/>
              </w:rPr>
            </w:pPr>
            <w:r>
              <w:rPr>
                <w:rFonts w:hint="eastAsia"/>
                <w:szCs w:val="22"/>
              </w:rPr>
              <w:t>≤30</w:t>
            </w:r>
          </w:p>
        </w:tc>
      </w:tr>
      <w:tr w14:paraId="3662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1260" w:type="dxa"/>
            <w:vAlign w:val="center"/>
          </w:tcPr>
          <w:p w14:paraId="2A1AB4D0">
            <w:pPr>
              <w:jc w:val="center"/>
              <w:rPr>
                <w:szCs w:val="22"/>
              </w:rPr>
            </w:pPr>
            <w:r>
              <w:rPr>
                <w:rFonts w:hint="eastAsia"/>
                <w:szCs w:val="22"/>
              </w:rPr>
              <w:t>酒 精 灯</w:t>
            </w:r>
          </w:p>
        </w:tc>
        <w:tc>
          <w:tcPr>
            <w:tcW w:w="1928" w:type="dxa"/>
            <w:vAlign w:val="center"/>
          </w:tcPr>
          <w:p w14:paraId="7E7F1B7E">
            <w:pPr>
              <w:jc w:val="center"/>
              <w:rPr>
                <w:szCs w:val="22"/>
              </w:rPr>
            </w:pPr>
            <w:r>
              <w:rPr>
                <w:rFonts w:hint="eastAsia"/>
                <w:szCs w:val="22"/>
              </w:rPr>
              <w:t>≤6</w:t>
            </w:r>
          </w:p>
        </w:tc>
        <w:tc>
          <w:tcPr>
            <w:tcW w:w="2102" w:type="dxa"/>
            <w:vAlign w:val="center"/>
          </w:tcPr>
          <w:p w14:paraId="1C78974A">
            <w:pPr>
              <w:jc w:val="center"/>
              <w:rPr>
                <w:szCs w:val="22"/>
              </w:rPr>
            </w:pPr>
            <w:r>
              <w:rPr>
                <w:rFonts w:hint="eastAsia"/>
                <w:szCs w:val="22"/>
              </w:rPr>
              <w:t>≤12</w:t>
            </w:r>
          </w:p>
        </w:tc>
        <w:tc>
          <w:tcPr>
            <w:tcW w:w="2102" w:type="dxa"/>
            <w:vAlign w:val="center"/>
          </w:tcPr>
          <w:p w14:paraId="5ED72529">
            <w:pPr>
              <w:jc w:val="center"/>
              <w:rPr>
                <w:szCs w:val="22"/>
              </w:rPr>
            </w:pPr>
            <w:r>
              <w:rPr>
                <w:rFonts w:hint="eastAsia"/>
                <w:szCs w:val="22"/>
              </w:rPr>
              <w:t>≤20</w:t>
            </w:r>
          </w:p>
        </w:tc>
        <w:tc>
          <w:tcPr>
            <w:tcW w:w="1999" w:type="dxa"/>
            <w:vAlign w:val="center"/>
          </w:tcPr>
          <w:p w14:paraId="56A69E72">
            <w:pPr>
              <w:jc w:val="center"/>
              <w:rPr>
                <w:szCs w:val="22"/>
              </w:rPr>
            </w:pPr>
            <w:r>
              <w:rPr>
                <w:rFonts w:hint="eastAsia"/>
                <w:szCs w:val="22"/>
              </w:rPr>
              <w:t>≤60</w:t>
            </w:r>
          </w:p>
        </w:tc>
      </w:tr>
    </w:tbl>
    <w:p w14:paraId="5A8438A2">
      <w:pPr>
        <w:spacing w:line="500" w:lineRule="exact"/>
        <w:ind w:firstLine="560" w:firstLineChars="20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5.编织布为双层布，四周置以边绳进行包边。</w:t>
      </w:r>
    </w:p>
    <w:p w14:paraId="6A04FA1C">
      <w:pPr>
        <w:spacing w:line="560" w:lineRule="exact"/>
        <w:ind w:firstLine="640" w:firstLineChars="200"/>
        <w:rPr>
          <w:rFonts w:hint="eastAsia" w:ascii="黑体" w:hAnsi="Times New Roman" w:eastAsia="黑体" w:cs="黑体"/>
          <w:sz w:val="32"/>
          <w:szCs w:val="32"/>
        </w:rPr>
      </w:pPr>
      <w:r>
        <w:rPr>
          <w:rFonts w:hint="eastAsia" w:ascii="黑体" w:hAnsi="Times New Roman" w:eastAsia="黑体" w:cs="黑体"/>
          <w:sz w:val="32"/>
          <w:szCs w:val="32"/>
        </w:rPr>
        <w:t>符合标准</w:t>
      </w:r>
    </w:p>
    <w:p w14:paraId="7CCCE261">
      <w:pPr>
        <w:ind w:firstLine="600" w:firstLineChars="200"/>
        <w:rPr>
          <w:rFonts w:ascii="仿宋" w:hAnsi="仿宋" w:eastAsia="仿宋" w:cs="Times New Roman"/>
          <w:sz w:val="30"/>
          <w:szCs w:val="30"/>
        </w:rPr>
      </w:pPr>
      <w:r>
        <w:rPr>
          <w:rFonts w:hint="eastAsia" w:ascii="仿宋" w:hAnsi="仿宋" w:eastAsia="仿宋" w:cs="Times New Roman"/>
          <w:sz w:val="30"/>
          <w:szCs w:val="30"/>
        </w:rPr>
        <w:t>MT/T 960—2005《煤矿井下假顶用塑料编织布》</w:t>
      </w:r>
    </w:p>
    <w:p w14:paraId="331D9419">
      <w:pPr>
        <w:ind w:firstLine="600" w:firstLineChars="200"/>
        <w:rPr>
          <w:rFonts w:ascii="仿宋" w:hAnsi="仿宋" w:eastAsia="仿宋" w:cs="Times New Roman"/>
          <w:sz w:val="30"/>
          <w:szCs w:val="30"/>
        </w:rPr>
      </w:pPr>
      <w:r>
        <w:rPr>
          <w:rFonts w:hint="eastAsia" w:ascii="仿宋" w:hAnsi="仿宋" w:eastAsia="仿宋" w:cs="Times New Roman"/>
          <w:sz w:val="30"/>
          <w:szCs w:val="30"/>
        </w:rPr>
        <w:t>MT113-1995《煤矿井下用聚合物制品阻燃抗静电性通用试验方法和判定规则》</w:t>
      </w:r>
    </w:p>
    <w:p w14:paraId="553580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eastAsia="黑体"/>
          <w:sz w:val="32"/>
          <w:szCs w:val="32"/>
        </w:rPr>
        <w:t>三、</w:t>
      </w:r>
      <w:r>
        <w:rPr>
          <w:rFonts w:hint="eastAsia" w:ascii="黑体" w:hAnsi="黑体" w:eastAsia="黑体" w:cs="黑体"/>
          <w:sz w:val="32"/>
          <w:szCs w:val="32"/>
          <w:lang w:val="en-US" w:eastAsia="zh-CN"/>
        </w:rPr>
        <w:t>售后服务要求</w:t>
      </w:r>
    </w:p>
    <w:p w14:paraId="63BCCA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除国家另有专门规定、招标文件有特殊要求或投标方有优惠条件外，按GB/T 16784-2025 工业产品售后服务总则执行，12个月内实行质量“三包”。质保期内若出现质量问题，中标方应在接到通知后的24小时内到达现场处理并提供解决方案。</w:t>
      </w:r>
    </w:p>
    <w:p w14:paraId="111E6389">
      <w:pPr>
        <w:spacing w:line="560" w:lineRule="exact"/>
        <w:ind w:firstLine="640" w:firstLineChars="200"/>
        <w:rPr>
          <w:rFonts w:ascii="黑体" w:eastAsia="黑体"/>
          <w:sz w:val="32"/>
          <w:szCs w:val="32"/>
        </w:rPr>
      </w:pPr>
      <w:r>
        <w:rPr>
          <w:rFonts w:hint="eastAsia" w:ascii="黑体" w:eastAsia="黑体"/>
          <w:sz w:val="32"/>
          <w:szCs w:val="32"/>
        </w:rPr>
        <w:t>四、供货时间及地点</w:t>
      </w:r>
    </w:p>
    <w:p w14:paraId="5D65DC96">
      <w:pPr>
        <w:spacing w:line="560" w:lineRule="exact"/>
        <w:ind w:firstLine="600" w:firstLineChars="200"/>
        <w:rPr>
          <w:rFonts w:ascii="仿宋" w:hAnsi="仿宋" w:eastAsia="仿宋"/>
          <w:sz w:val="30"/>
          <w:szCs w:val="30"/>
        </w:rPr>
      </w:pPr>
      <w:r>
        <w:rPr>
          <w:rFonts w:hint="eastAsia" w:ascii="仿宋" w:hAnsi="仿宋" w:eastAsia="仿宋"/>
          <w:sz w:val="30"/>
          <w:szCs w:val="30"/>
        </w:rPr>
        <w:t>交货期：合同生效时起30天内交货。</w:t>
      </w:r>
    </w:p>
    <w:p w14:paraId="0E7E4FE3">
      <w:pPr>
        <w:tabs>
          <w:tab w:val="left" w:pos="3270"/>
        </w:tabs>
        <w:spacing w:line="560" w:lineRule="exact"/>
        <w:ind w:firstLine="600" w:firstLineChars="200"/>
        <w:rPr>
          <w:rFonts w:ascii="仿宋" w:hAnsi="仿宋" w:eastAsia="仿宋" w:cs="Times New Roman"/>
          <w:sz w:val="30"/>
          <w:szCs w:val="30"/>
        </w:rPr>
      </w:pPr>
      <w:r>
        <w:rPr>
          <w:rFonts w:hint="eastAsia" w:ascii="仿宋" w:hAnsi="仿宋" w:eastAsia="仿宋" w:cs="Times New Roman"/>
          <w:sz w:val="30"/>
          <w:szCs w:val="30"/>
        </w:rPr>
        <w:t>交货地点：淮北矿业股份有限公司下属各矿厂。</w:t>
      </w:r>
      <w:bookmarkStart w:id="0" w:name="_GoBack"/>
      <w:bookmarkEnd w:id="0"/>
    </w:p>
    <w:p w14:paraId="1B7D8EB0">
      <w:pPr>
        <w:spacing w:line="560" w:lineRule="exact"/>
        <w:ind w:firstLine="640"/>
        <w:rPr>
          <w:rFonts w:ascii="仿宋_GB2312" w:eastAsia="仿宋_GB2312"/>
          <w:sz w:val="32"/>
          <w:szCs w:val="32"/>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2"/>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Y0ODFhY2U2NzI2Y2Y2ODg5ZDgzZGI4MWRlZjMyZGEifQ=="/>
  </w:docVars>
  <w:rsids>
    <w:rsidRoot w:val="00F75156"/>
    <w:rsid w:val="00004C66"/>
    <w:rsid w:val="00007AA5"/>
    <w:rsid w:val="00017DE9"/>
    <w:rsid w:val="00033655"/>
    <w:rsid w:val="000378B8"/>
    <w:rsid w:val="00071E0B"/>
    <w:rsid w:val="0007227E"/>
    <w:rsid w:val="0008266D"/>
    <w:rsid w:val="00083C9C"/>
    <w:rsid w:val="00090550"/>
    <w:rsid w:val="00093626"/>
    <w:rsid w:val="000A07B9"/>
    <w:rsid w:val="000B1360"/>
    <w:rsid w:val="000B3A58"/>
    <w:rsid w:val="000C7093"/>
    <w:rsid w:val="000D0237"/>
    <w:rsid w:val="000D18AD"/>
    <w:rsid w:val="000D2855"/>
    <w:rsid w:val="000E088E"/>
    <w:rsid w:val="000E2E73"/>
    <w:rsid w:val="000E5260"/>
    <w:rsid w:val="000E5C3A"/>
    <w:rsid w:val="000E6DE1"/>
    <w:rsid w:val="000F08BA"/>
    <w:rsid w:val="000F2800"/>
    <w:rsid w:val="000F62ED"/>
    <w:rsid w:val="00101487"/>
    <w:rsid w:val="00113BA5"/>
    <w:rsid w:val="00122700"/>
    <w:rsid w:val="00135329"/>
    <w:rsid w:val="00157FFE"/>
    <w:rsid w:val="00167B84"/>
    <w:rsid w:val="00191B8C"/>
    <w:rsid w:val="001B0793"/>
    <w:rsid w:val="001B15A4"/>
    <w:rsid w:val="001D04F5"/>
    <w:rsid w:val="001D2784"/>
    <w:rsid w:val="001D2C3E"/>
    <w:rsid w:val="001D6AC2"/>
    <w:rsid w:val="001E1AFB"/>
    <w:rsid w:val="001E2243"/>
    <w:rsid w:val="001E7C7C"/>
    <w:rsid w:val="001F45FC"/>
    <w:rsid w:val="0020523B"/>
    <w:rsid w:val="002074BB"/>
    <w:rsid w:val="002119D5"/>
    <w:rsid w:val="002159AD"/>
    <w:rsid w:val="00221DA9"/>
    <w:rsid w:val="00226125"/>
    <w:rsid w:val="0024005E"/>
    <w:rsid w:val="00240E8C"/>
    <w:rsid w:val="002532FC"/>
    <w:rsid w:val="00254900"/>
    <w:rsid w:val="00255E8F"/>
    <w:rsid w:val="00260222"/>
    <w:rsid w:val="0027591E"/>
    <w:rsid w:val="00275BF9"/>
    <w:rsid w:val="002A072C"/>
    <w:rsid w:val="002A3378"/>
    <w:rsid w:val="002B05E5"/>
    <w:rsid w:val="002B6575"/>
    <w:rsid w:val="002C1421"/>
    <w:rsid w:val="002D0A7E"/>
    <w:rsid w:val="002D6786"/>
    <w:rsid w:val="002F1FAC"/>
    <w:rsid w:val="00332F94"/>
    <w:rsid w:val="00336D64"/>
    <w:rsid w:val="0034356C"/>
    <w:rsid w:val="00346662"/>
    <w:rsid w:val="0034667F"/>
    <w:rsid w:val="003613A9"/>
    <w:rsid w:val="00362AEF"/>
    <w:rsid w:val="003734FB"/>
    <w:rsid w:val="003803B3"/>
    <w:rsid w:val="00384D13"/>
    <w:rsid w:val="00395713"/>
    <w:rsid w:val="003A339E"/>
    <w:rsid w:val="003A48C2"/>
    <w:rsid w:val="003A76A4"/>
    <w:rsid w:val="003C28B9"/>
    <w:rsid w:val="003C5FCA"/>
    <w:rsid w:val="003C6D28"/>
    <w:rsid w:val="003C79F0"/>
    <w:rsid w:val="003E0B40"/>
    <w:rsid w:val="00406DA0"/>
    <w:rsid w:val="004123BE"/>
    <w:rsid w:val="004134AF"/>
    <w:rsid w:val="00423841"/>
    <w:rsid w:val="00426011"/>
    <w:rsid w:val="0044191B"/>
    <w:rsid w:val="004742E9"/>
    <w:rsid w:val="00475EEB"/>
    <w:rsid w:val="00476583"/>
    <w:rsid w:val="00490C30"/>
    <w:rsid w:val="004952FD"/>
    <w:rsid w:val="004A06C9"/>
    <w:rsid w:val="004A0A13"/>
    <w:rsid w:val="004A5BFC"/>
    <w:rsid w:val="004B2AC1"/>
    <w:rsid w:val="004B6D4A"/>
    <w:rsid w:val="004D546C"/>
    <w:rsid w:val="004D553E"/>
    <w:rsid w:val="004E3CF9"/>
    <w:rsid w:val="004E6B1D"/>
    <w:rsid w:val="004F120F"/>
    <w:rsid w:val="004F2C62"/>
    <w:rsid w:val="004F392A"/>
    <w:rsid w:val="004F649D"/>
    <w:rsid w:val="005023AC"/>
    <w:rsid w:val="0050700D"/>
    <w:rsid w:val="00515598"/>
    <w:rsid w:val="005277A6"/>
    <w:rsid w:val="005348B5"/>
    <w:rsid w:val="00536429"/>
    <w:rsid w:val="00546BF6"/>
    <w:rsid w:val="00566EA5"/>
    <w:rsid w:val="00573DF1"/>
    <w:rsid w:val="00575D48"/>
    <w:rsid w:val="00584ACB"/>
    <w:rsid w:val="00587C83"/>
    <w:rsid w:val="0059759E"/>
    <w:rsid w:val="005A142C"/>
    <w:rsid w:val="005B468E"/>
    <w:rsid w:val="005B4901"/>
    <w:rsid w:val="005D0AA1"/>
    <w:rsid w:val="005F1002"/>
    <w:rsid w:val="00610B9E"/>
    <w:rsid w:val="00614A9B"/>
    <w:rsid w:val="0062208D"/>
    <w:rsid w:val="00673ACF"/>
    <w:rsid w:val="006957AA"/>
    <w:rsid w:val="006A71B4"/>
    <w:rsid w:val="006B546E"/>
    <w:rsid w:val="006B6CC1"/>
    <w:rsid w:val="006C5001"/>
    <w:rsid w:val="006F069F"/>
    <w:rsid w:val="006F65F0"/>
    <w:rsid w:val="007101E6"/>
    <w:rsid w:val="00717774"/>
    <w:rsid w:val="00720959"/>
    <w:rsid w:val="00723F38"/>
    <w:rsid w:val="00731FA1"/>
    <w:rsid w:val="007414DC"/>
    <w:rsid w:val="00755326"/>
    <w:rsid w:val="007603FF"/>
    <w:rsid w:val="007636ED"/>
    <w:rsid w:val="0076467C"/>
    <w:rsid w:val="0076707F"/>
    <w:rsid w:val="00780880"/>
    <w:rsid w:val="00784E28"/>
    <w:rsid w:val="007C2664"/>
    <w:rsid w:val="007C68CC"/>
    <w:rsid w:val="007C7BB1"/>
    <w:rsid w:val="007E7787"/>
    <w:rsid w:val="0082423C"/>
    <w:rsid w:val="0082592D"/>
    <w:rsid w:val="008323B9"/>
    <w:rsid w:val="0083577D"/>
    <w:rsid w:val="00850BD1"/>
    <w:rsid w:val="00854EE4"/>
    <w:rsid w:val="0087004F"/>
    <w:rsid w:val="008A0315"/>
    <w:rsid w:val="008A323B"/>
    <w:rsid w:val="008B3ED6"/>
    <w:rsid w:val="008C29C9"/>
    <w:rsid w:val="008D213A"/>
    <w:rsid w:val="008D5BAF"/>
    <w:rsid w:val="008E0751"/>
    <w:rsid w:val="008E61EA"/>
    <w:rsid w:val="00900324"/>
    <w:rsid w:val="009009D3"/>
    <w:rsid w:val="00925A85"/>
    <w:rsid w:val="00931F40"/>
    <w:rsid w:val="00937CF4"/>
    <w:rsid w:val="009462C6"/>
    <w:rsid w:val="0095267F"/>
    <w:rsid w:val="009549C1"/>
    <w:rsid w:val="00961953"/>
    <w:rsid w:val="00961E8D"/>
    <w:rsid w:val="009675AB"/>
    <w:rsid w:val="0097652E"/>
    <w:rsid w:val="00977137"/>
    <w:rsid w:val="00983C06"/>
    <w:rsid w:val="00986B86"/>
    <w:rsid w:val="0099280D"/>
    <w:rsid w:val="00993100"/>
    <w:rsid w:val="00993F4B"/>
    <w:rsid w:val="009A05E8"/>
    <w:rsid w:val="009A0690"/>
    <w:rsid w:val="009A5E48"/>
    <w:rsid w:val="009A75F3"/>
    <w:rsid w:val="009A7E2E"/>
    <w:rsid w:val="009C2A48"/>
    <w:rsid w:val="009C7388"/>
    <w:rsid w:val="009D189F"/>
    <w:rsid w:val="009D5CF0"/>
    <w:rsid w:val="009F4A24"/>
    <w:rsid w:val="00A00F05"/>
    <w:rsid w:val="00A26D7C"/>
    <w:rsid w:val="00A328A9"/>
    <w:rsid w:val="00A356D0"/>
    <w:rsid w:val="00A4652C"/>
    <w:rsid w:val="00A57BD1"/>
    <w:rsid w:val="00A60918"/>
    <w:rsid w:val="00A6256C"/>
    <w:rsid w:val="00A64E3F"/>
    <w:rsid w:val="00A7002E"/>
    <w:rsid w:val="00A83DEA"/>
    <w:rsid w:val="00A92281"/>
    <w:rsid w:val="00AA20CA"/>
    <w:rsid w:val="00AA3DAE"/>
    <w:rsid w:val="00AB22A6"/>
    <w:rsid w:val="00AC01B3"/>
    <w:rsid w:val="00AC7C13"/>
    <w:rsid w:val="00AD013A"/>
    <w:rsid w:val="00AF743F"/>
    <w:rsid w:val="00B023F6"/>
    <w:rsid w:val="00B078B8"/>
    <w:rsid w:val="00B218F4"/>
    <w:rsid w:val="00B535F6"/>
    <w:rsid w:val="00B63619"/>
    <w:rsid w:val="00B63B01"/>
    <w:rsid w:val="00B66F71"/>
    <w:rsid w:val="00B85113"/>
    <w:rsid w:val="00B900D8"/>
    <w:rsid w:val="00B94861"/>
    <w:rsid w:val="00B94CB4"/>
    <w:rsid w:val="00B94D37"/>
    <w:rsid w:val="00B9520D"/>
    <w:rsid w:val="00BA44CA"/>
    <w:rsid w:val="00BB6FD3"/>
    <w:rsid w:val="00BC5B75"/>
    <w:rsid w:val="00BD0F63"/>
    <w:rsid w:val="00BE6BE0"/>
    <w:rsid w:val="00C00039"/>
    <w:rsid w:val="00C118FE"/>
    <w:rsid w:val="00C12448"/>
    <w:rsid w:val="00C12B9D"/>
    <w:rsid w:val="00C13972"/>
    <w:rsid w:val="00C3175E"/>
    <w:rsid w:val="00C43CDE"/>
    <w:rsid w:val="00C50325"/>
    <w:rsid w:val="00C53545"/>
    <w:rsid w:val="00C540F9"/>
    <w:rsid w:val="00C57A9B"/>
    <w:rsid w:val="00C57B69"/>
    <w:rsid w:val="00C7642B"/>
    <w:rsid w:val="00C912EA"/>
    <w:rsid w:val="00C94970"/>
    <w:rsid w:val="00CA2458"/>
    <w:rsid w:val="00CA2FAD"/>
    <w:rsid w:val="00CA7DCF"/>
    <w:rsid w:val="00CB1338"/>
    <w:rsid w:val="00CB1EC2"/>
    <w:rsid w:val="00CB28E6"/>
    <w:rsid w:val="00CB2DDC"/>
    <w:rsid w:val="00CC403C"/>
    <w:rsid w:val="00CC41F9"/>
    <w:rsid w:val="00CC6C3D"/>
    <w:rsid w:val="00CD7718"/>
    <w:rsid w:val="00D04CE9"/>
    <w:rsid w:val="00D04E21"/>
    <w:rsid w:val="00D17927"/>
    <w:rsid w:val="00D20B49"/>
    <w:rsid w:val="00D81CE5"/>
    <w:rsid w:val="00D83E47"/>
    <w:rsid w:val="00D86404"/>
    <w:rsid w:val="00D86DF3"/>
    <w:rsid w:val="00D8746D"/>
    <w:rsid w:val="00DB1793"/>
    <w:rsid w:val="00DB428D"/>
    <w:rsid w:val="00DB705F"/>
    <w:rsid w:val="00E0552F"/>
    <w:rsid w:val="00E11EB4"/>
    <w:rsid w:val="00E17101"/>
    <w:rsid w:val="00E217E6"/>
    <w:rsid w:val="00E21FCB"/>
    <w:rsid w:val="00E23929"/>
    <w:rsid w:val="00E30743"/>
    <w:rsid w:val="00E41B0D"/>
    <w:rsid w:val="00E436CF"/>
    <w:rsid w:val="00E455F6"/>
    <w:rsid w:val="00E54537"/>
    <w:rsid w:val="00E60A73"/>
    <w:rsid w:val="00E676DF"/>
    <w:rsid w:val="00E75BF0"/>
    <w:rsid w:val="00E80D85"/>
    <w:rsid w:val="00E82226"/>
    <w:rsid w:val="00E844B2"/>
    <w:rsid w:val="00E879C6"/>
    <w:rsid w:val="00E96D62"/>
    <w:rsid w:val="00EA03E6"/>
    <w:rsid w:val="00EA6BBB"/>
    <w:rsid w:val="00EB27FE"/>
    <w:rsid w:val="00EC6163"/>
    <w:rsid w:val="00ED03A9"/>
    <w:rsid w:val="00ED2281"/>
    <w:rsid w:val="00EF161D"/>
    <w:rsid w:val="00F0343D"/>
    <w:rsid w:val="00F14CAD"/>
    <w:rsid w:val="00F66149"/>
    <w:rsid w:val="00F75156"/>
    <w:rsid w:val="00F770C4"/>
    <w:rsid w:val="00F8203D"/>
    <w:rsid w:val="00F8658E"/>
    <w:rsid w:val="00F86D2A"/>
    <w:rsid w:val="00F93CE2"/>
    <w:rsid w:val="00F96EDC"/>
    <w:rsid w:val="00FA3C93"/>
    <w:rsid w:val="00FC02B7"/>
    <w:rsid w:val="00FC61DB"/>
    <w:rsid w:val="00FC794E"/>
    <w:rsid w:val="00FE174A"/>
    <w:rsid w:val="00FF5CB7"/>
    <w:rsid w:val="0EEA1757"/>
    <w:rsid w:val="103C30EE"/>
    <w:rsid w:val="1102722C"/>
    <w:rsid w:val="16A600C6"/>
    <w:rsid w:val="31745F33"/>
    <w:rsid w:val="36F47A81"/>
    <w:rsid w:val="3CC81606"/>
    <w:rsid w:val="3EAE4B33"/>
    <w:rsid w:val="3EC534C3"/>
    <w:rsid w:val="3FF31E90"/>
    <w:rsid w:val="4CCF6EA0"/>
    <w:rsid w:val="553D4B77"/>
    <w:rsid w:val="5E345A01"/>
    <w:rsid w:val="5E6C1600"/>
    <w:rsid w:val="62177F35"/>
    <w:rsid w:val="68C73A05"/>
    <w:rsid w:val="6BE7241B"/>
    <w:rsid w:val="76B4739E"/>
    <w:rsid w:val="78540E39"/>
    <w:rsid w:val="7C457213"/>
    <w:rsid w:val="7E5751DF"/>
    <w:rsid w:val="7F8069F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21"/>
    <w:qFormat/>
    <w:locked/>
    <w:uiPriority w:val="9"/>
    <w:pPr>
      <w:widowControl/>
      <w:spacing w:before="100" w:beforeAutospacing="1" w:after="100" w:afterAutospacing="1"/>
      <w:jc w:val="left"/>
      <w:outlineLvl w:val="0"/>
    </w:pPr>
    <w:rPr>
      <w:rFonts w:ascii="宋体" w:hAnsi="宋体" w:cs="Times New Roman"/>
      <w:b/>
      <w:bCs/>
      <w:kern w:val="36"/>
      <w:sz w:val="48"/>
      <w:szCs w:val="48"/>
    </w:rPr>
  </w:style>
  <w:style w:type="paragraph" w:styleId="4">
    <w:name w:val="heading 2"/>
    <w:basedOn w:val="1"/>
    <w:next w:val="1"/>
    <w:link w:val="23"/>
    <w:unhideWhenUsed/>
    <w:qFormat/>
    <w:locked/>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5">
    <w:name w:val="Body Text"/>
    <w:basedOn w:val="1"/>
    <w:link w:val="20"/>
    <w:semiHidden/>
    <w:unhideWhenUsed/>
    <w:qFormat/>
    <w:uiPriority w:val="99"/>
    <w:pPr>
      <w:spacing w:after="120"/>
    </w:pPr>
  </w:style>
  <w:style w:type="paragraph" w:styleId="6">
    <w:name w:val="Body Text Indent"/>
    <w:basedOn w:val="1"/>
    <w:link w:val="17"/>
    <w:qFormat/>
    <w:uiPriority w:val="99"/>
    <w:pPr>
      <w:spacing w:after="120"/>
      <w:ind w:left="420" w:leftChars="200"/>
    </w:pPr>
  </w:style>
  <w:style w:type="paragraph" w:styleId="7">
    <w:name w:val="Balloon Text"/>
    <w:basedOn w:val="1"/>
    <w:link w:val="24"/>
    <w:semiHidden/>
    <w:unhideWhenUsed/>
    <w:qFormat/>
    <w:uiPriority w:val="99"/>
    <w:rPr>
      <w:sz w:val="18"/>
      <w:szCs w:val="18"/>
    </w:rPr>
  </w:style>
  <w:style w:type="paragraph" w:styleId="8">
    <w:name w:val="footer"/>
    <w:basedOn w:val="1"/>
    <w:link w:val="15"/>
    <w:qFormat/>
    <w:uiPriority w:val="99"/>
    <w:pPr>
      <w:tabs>
        <w:tab w:val="center" w:pos="4153"/>
        <w:tab w:val="right" w:pos="8306"/>
      </w:tabs>
      <w:snapToGrid w:val="0"/>
      <w:jc w:val="left"/>
    </w:pPr>
    <w:rPr>
      <w:sz w:val="18"/>
      <w:szCs w:val="18"/>
    </w:rPr>
  </w:style>
  <w:style w:type="paragraph" w:styleId="9">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6"/>
    <w:link w:val="19"/>
    <w:qFormat/>
    <w:uiPriority w:val="99"/>
    <w:pPr>
      <w:ind w:firstLine="420" w:firstLineChars="200"/>
    </w:pPr>
    <w:rPr>
      <w:rFonts w:ascii="Times New Roman" w:hAnsi="Times New Roman" w:cs="Times New Roman"/>
    </w:rPr>
  </w:style>
  <w:style w:type="table" w:styleId="12">
    <w:name w:val="Table Grid"/>
    <w:basedOn w:val="11"/>
    <w:qFormat/>
    <w:locked/>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页眉 Char"/>
    <w:link w:val="9"/>
    <w:qFormat/>
    <w:locked/>
    <w:uiPriority w:val="99"/>
    <w:rPr>
      <w:sz w:val="18"/>
      <w:szCs w:val="18"/>
    </w:rPr>
  </w:style>
  <w:style w:type="character" w:customStyle="1" w:styleId="15">
    <w:name w:val="页脚 Char"/>
    <w:link w:val="8"/>
    <w:qFormat/>
    <w:locked/>
    <w:uiPriority w:val="99"/>
    <w:rPr>
      <w:sz w:val="18"/>
      <w:szCs w:val="18"/>
    </w:rPr>
  </w:style>
  <w:style w:type="paragraph" w:styleId="16">
    <w:name w:val="List Paragraph"/>
    <w:basedOn w:val="1"/>
    <w:qFormat/>
    <w:uiPriority w:val="99"/>
    <w:pPr>
      <w:ind w:firstLine="420" w:firstLineChars="200"/>
    </w:pPr>
  </w:style>
  <w:style w:type="character" w:customStyle="1" w:styleId="17">
    <w:name w:val="正文文本缩进 Char"/>
    <w:link w:val="6"/>
    <w:semiHidden/>
    <w:qFormat/>
    <w:locked/>
    <w:uiPriority w:val="99"/>
    <w:rPr>
      <w:sz w:val="21"/>
      <w:szCs w:val="21"/>
    </w:rPr>
  </w:style>
  <w:style w:type="character" w:customStyle="1" w:styleId="18">
    <w:name w:val="Body Text First Indent 2 Char"/>
    <w:semiHidden/>
    <w:qFormat/>
    <w:locked/>
    <w:uiPriority w:val="99"/>
    <w:rPr>
      <w:sz w:val="21"/>
      <w:szCs w:val="21"/>
    </w:rPr>
  </w:style>
  <w:style w:type="character" w:customStyle="1" w:styleId="19">
    <w:name w:val="正文首行缩进 2 Char"/>
    <w:link w:val="10"/>
    <w:qFormat/>
    <w:locked/>
    <w:uiPriority w:val="99"/>
    <w:rPr>
      <w:rFonts w:eastAsia="宋体"/>
      <w:kern w:val="2"/>
      <w:sz w:val="24"/>
      <w:szCs w:val="24"/>
    </w:rPr>
  </w:style>
  <w:style w:type="character" w:customStyle="1" w:styleId="20">
    <w:name w:val="正文文本 Char"/>
    <w:basedOn w:val="13"/>
    <w:link w:val="5"/>
    <w:semiHidden/>
    <w:qFormat/>
    <w:uiPriority w:val="99"/>
    <w:rPr>
      <w:rFonts w:cs="Calibri"/>
      <w:kern w:val="2"/>
      <w:sz w:val="21"/>
      <w:szCs w:val="21"/>
    </w:rPr>
  </w:style>
  <w:style w:type="character" w:customStyle="1" w:styleId="21">
    <w:name w:val="标题 1 Char"/>
    <w:basedOn w:val="13"/>
    <w:link w:val="3"/>
    <w:qFormat/>
    <w:uiPriority w:val="9"/>
    <w:rPr>
      <w:rFonts w:ascii="宋体" w:hAnsi="宋体"/>
      <w:b/>
      <w:bCs/>
      <w:kern w:val="36"/>
      <w:sz w:val="48"/>
      <w:szCs w:val="48"/>
    </w:rPr>
  </w:style>
  <w:style w:type="paragraph" w:customStyle="1" w:styleId="22">
    <w:name w:val="章标题"/>
    <w:next w:val="1"/>
    <w:qFormat/>
    <w:uiPriority w:val="0"/>
    <w:pPr>
      <w:numPr>
        <w:ilvl w:val="1"/>
        <w:numId w:val="1"/>
      </w:numPr>
      <w:spacing w:beforeLines="50" w:afterLines="50"/>
      <w:ind w:left="1266" w:hanging="420"/>
      <w:jc w:val="both"/>
      <w:outlineLvl w:val="1"/>
    </w:pPr>
    <w:rPr>
      <w:rFonts w:ascii="黑体" w:hAnsi="Calibri" w:eastAsia="黑体" w:cs="Times New Roman"/>
      <w:sz w:val="21"/>
      <w:szCs w:val="22"/>
      <w:lang w:val="en-US" w:eastAsia="zh-CN" w:bidi="ar-SA"/>
    </w:rPr>
  </w:style>
  <w:style w:type="character" w:customStyle="1" w:styleId="23">
    <w:name w:val="标题 2 Char"/>
    <w:basedOn w:val="13"/>
    <w:link w:val="4"/>
    <w:qFormat/>
    <w:uiPriority w:val="0"/>
    <w:rPr>
      <w:rFonts w:asciiTheme="majorHAnsi" w:hAnsiTheme="majorHAnsi" w:eastAsiaTheme="majorEastAsia" w:cstheme="majorBidi"/>
      <w:b/>
      <w:bCs/>
      <w:kern w:val="2"/>
      <w:sz w:val="32"/>
      <w:szCs w:val="32"/>
    </w:rPr>
  </w:style>
  <w:style w:type="character" w:customStyle="1" w:styleId="24">
    <w:name w:val="批注框文本 Char"/>
    <w:basedOn w:val="13"/>
    <w:link w:val="7"/>
    <w:semiHidden/>
    <w:qFormat/>
    <w:uiPriority w:val="99"/>
    <w:rPr>
      <w:rFonts w:cs="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746</Words>
  <Characters>826</Characters>
  <Lines>1</Lines>
  <Paragraphs>1</Paragraphs>
  <TotalTime>7</TotalTime>
  <ScaleCrop>false</ScaleCrop>
  <LinksUpToDate>false</LinksUpToDate>
  <CharactersWithSpaces>869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2022-05-11T06:15:00Z</dcterms:created>
  <dc:creator>杜国强</dc:creator>
  <cp:lastModifiedBy>WPS_193725037</cp:lastModifiedBy>
  <cp:lastPrinted>2023-07-20T11:21:00Z</cp:lastPrinted>
  <dcterms:modified xsi:type="dcterms:W3CDTF">2025-12-19T08:45:25Z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E82D18CAF2874841A8A1AA32CB61CE36</vt:lpwstr>
  </property>
  <property fmtid="{D5CDD505-2E9C-101B-9397-08002B2CF9AE}" pid="4" name="KSOTemplateDocerSaveRecord">
    <vt:lpwstr>eyJoZGlkIjoiNzgzMWY1Zjk5NmEwYzU2NzMwOTViY2Q4NzJlNThmNjEiLCJ1c2VySWQiOiIxOTM3MjUwMzcifQ==</vt:lpwstr>
  </property>
</Properties>
</file>