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before="0" w:after="0" w:line="560" w:lineRule="exact"/>
        <w:rPr>
          <w:rFonts w:hint="eastAsia" w:ascii="宋体" w:hAnsi="宋体" w:cs="Times New Roman"/>
          <w:bCs w:val="0"/>
          <w:sz w:val="36"/>
          <w:szCs w:val="36"/>
        </w:rPr>
      </w:pPr>
    </w:p>
    <w:p>
      <w:pPr>
        <w:pStyle w:val="8"/>
        <w:spacing w:before="0" w:after="0" w:line="560" w:lineRule="exact"/>
        <w:jc w:val="center"/>
        <w:rPr>
          <w:rFonts w:hint="eastAsia" w:ascii="宋体" w:hAnsi="宋体" w:cs="Times New Roman"/>
          <w:bCs w:val="0"/>
          <w:sz w:val="36"/>
          <w:szCs w:val="36"/>
          <w:lang w:val="en-US" w:eastAsia="zh-CN"/>
        </w:rPr>
      </w:pPr>
      <w:r>
        <w:rPr>
          <w:rFonts w:hint="eastAsia" w:ascii="宋体" w:hAnsi="宋体" w:cs="Times New Roman"/>
          <w:bCs w:val="0"/>
          <w:sz w:val="36"/>
          <w:szCs w:val="36"/>
        </w:rPr>
        <w:t>淮北矿业</w:t>
      </w:r>
      <w:r>
        <w:rPr>
          <w:rFonts w:hint="eastAsia" w:ascii="宋体" w:hAnsi="宋体" w:cs="Times New Roman"/>
          <w:bCs w:val="0"/>
          <w:sz w:val="36"/>
          <w:szCs w:val="36"/>
          <w:lang w:val="en-US" w:eastAsia="zh-CN"/>
        </w:rPr>
        <w:t>股份有限公司2026年度</w:t>
      </w:r>
    </w:p>
    <w:p>
      <w:pPr>
        <w:pStyle w:val="8"/>
        <w:spacing w:before="0" w:after="0" w:line="560" w:lineRule="exact"/>
        <w:jc w:val="center"/>
        <w:rPr>
          <w:rFonts w:ascii="宋体" w:hAnsi="宋体" w:cs="Times New Roman"/>
          <w:bCs w:val="0"/>
          <w:sz w:val="36"/>
          <w:szCs w:val="36"/>
        </w:rPr>
      </w:pPr>
      <w:r>
        <w:rPr>
          <w:rFonts w:hint="eastAsia" w:ascii="宋体" w:hAnsi="宋体" w:cs="Times New Roman"/>
          <w:bCs w:val="0"/>
          <w:sz w:val="36"/>
          <w:szCs w:val="36"/>
        </w:rPr>
        <w:t>树脂锚杆锚固剂原材料</w:t>
      </w:r>
      <w:r>
        <w:rPr>
          <w:rFonts w:hint="eastAsia" w:ascii="宋体" w:hAnsi="宋体" w:cs="Times New Roman"/>
          <w:bCs w:val="0"/>
          <w:sz w:val="36"/>
          <w:szCs w:val="36"/>
          <w:lang w:val="en-US" w:eastAsia="zh-CN"/>
        </w:rPr>
        <w:t>采购</w:t>
      </w:r>
      <w:r>
        <w:rPr>
          <w:rFonts w:hint="eastAsia" w:ascii="宋体" w:hAnsi="宋体" w:cs="Times New Roman"/>
          <w:bCs w:val="0"/>
          <w:sz w:val="36"/>
          <w:szCs w:val="36"/>
        </w:rPr>
        <w:t>技术规格书</w:t>
      </w:r>
    </w:p>
    <w:p>
      <w:pPr>
        <w:spacing w:line="560" w:lineRule="exact"/>
        <w:jc w:val="center"/>
        <w:rPr>
          <w:rFonts w:ascii="宋体" w:hAnsi="宋体"/>
          <w:b/>
          <w:sz w:val="36"/>
          <w:szCs w:val="36"/>
        </w:rPr>
      </w:pPr>
    </w:p>
    <w:p>
      <w:pPr>
        <w:spacing w:line="560" w:lineRule="exact"/>
        <w:jc w:val="center"/>
        <w:rPr>
          <w:rFonts w:ascii="宋体" w:hAnsi="宋体"/>
          <w:b/>
          <w:sz w:val="36"/>
          <w:szCs w:val="36"/>
        </w:rPr>
      </w:pPr>
    </w:p>
    <w:p>
      <w:pPr>
        <w:spacing w:line="560" w:lineRule="atLeast"/>
        <w:rPr>
          <w:sz w:val="44"/>
          <w:szCs w:val="44"/>
        </w:rPr>
      </w:pPr>
    </w:p>
    <w:p>
      <w:pPr>
        <w:spacing w:line="560" w:lineRule="atLeast"/>
        <w:rPr>
          <w:sz w:val="44"/>
          <w:szCs w:val="44"/>
        </w:rPr>
      </w:pPr>
    </w:p>
    <w:p>
      <w:pPr>
        <w:pStyle w:val="2"/>
        <w:spacing w:line="560" w:lineRule="atLeast"/>
        <w:rPr>
          <w:sz w:val="44"/>
          <w:szCs w:val="44"/>
        </w:rPr>
      </w:pPr>
    </w:p>
    <w:p>
      <w:pPr>
        <w:spacing w:line="560" w:lineRule="atLeast"/>
        <w:rPr>
          <w:sz w:val="44"/>
          <w:szCs w:val="44"/>
          <w:u w:val="single" w:color="000000" w:themeColor="text1"/>
        </w:rPr>
      </w:pPr>
    </w:p>
    <w:p>
      <w:pPr>
        <w:spacing w:line="560" w:lineRule="atLeast"/>
        <w:rPr>
          <w:sz w:val="44"/>
          <w:szCs w:val="44"/>
        </w:rPr>
      </w:pPr>
    </w:p>
    <w:p>
      <w:pPr>
        <w:spacing w:line="560" w:lineRule="atLeast"/>
        <w:rPr>
          <w:sz w:val="44"/>
          <w:szCs w:val="44"/>
          <w:u w:val="thick"/>
        </w:rPr>
      </w:pPr>
    </w:p>
    <w:p>
      <w:pPr>
        <w:pStyle w:val="2"/>
        <w:rPr>
          <w:rFonts w:hint="default" w:eastAsia="幼圆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 xml:space="preserve">  </w:t>
      </w:r>
    </w:p>
    <w:p>
      <w:pPr>
        <w:pStyle w:val="2"/>
        <w:rPr>
          <w:sz w:val="44"/>
          <w:szCs w:val="44"/>
        </w:rPr>
      </w:pPr>
    </w:p>
    <w:p>
      <w:pPr>
        <w:pStyle w:val="2"/>
        <w:rPr>
          <w:sz w:val="44"/>
          <w:szCs w:val="44"/>
        </w:rPr>
      </w:pPr>
    </w:p>
    <w:p>
      <w:pPr>
        <w:pStyle w:val="2"/>
        <w:rPr>
          <w:sz w:val="44"/>
          <w:szCs w:val="44"/>
        </w:rPr>
      </w:pPr>
    </w:p>
    <w:p>
      <w:pPr>
        <w:pStyle w:val="2"/>
        <w:rPr>
          <w:sz w:val="44"/>
          <w:szCs w:val="44"/>
        </w:rPr>
      </w:pPr>
    </w:p>
    <w:p>
      <w:pPr>
        <w:pStyle w:val="2"/>
        <w:rPr>
          <w:sz w:val="44"/>
          <w:szCs w:val="44"/>
        </w:rPr>
      </w:pPr>
    </w:p>
    <w:p>
      <w:pPr>
        <w:pStyle w:val="2"/>
        <w:rPr>
          <w:sz w:val="44"/>
          <w:szCs w:val="44"/>
        </w:rPr>
      </w:pPr>
    </w:p>
    <w:p>
      <w:pPr>
        <w:spacing w:line="560" w:lineRule="atLeast"/>
        <w:rPr>
          <w:b/>
          <w:bCs/>
          <w:sz w:val="44"/>
          <w:szCs w:val="44"/>
        </w:rPr>
      </w:pPr>
    </w:p>
    <w:p>
      <w:pPr>
        <w:ind w:firstLine="2570" w:firstLineChars="800"/>
        <w:rPr>
          <w:rFonts w:hint="default" w:ascii="宋体" w:hAnsi="宋体" w:eastAsia="宋体" w:cs="宋体"/>
          <w:b/>
          <w:bCs/>
          <w:sz w:val="32"/>
          <w:szCs w:val="32"/>
          <w:u w:val="thick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u w:val="none"/>
        </w:rPr>
        <w:t>编制：</w:t>
      </w:r>
      <w:r>
        <w:rPr>
          <w:rFonts w:hint="eastAsia" w:ascii="宋体" w:hAnsi="宋体" w:eastAsia="宋体" w:cs="宋体"/>
          <w:b/>
          <w:bCs/>
          <w:sz w:val="32"/>
          <w:szCs w:val="32"/>
          <w:u w:val="thick"/>
          <w:lang w:val="en-US" w:eastAsia="zh-CN"/>
        </w:rPr>
        <w:t xml:space="preserve">                  </w:t>
      </w:r>
      <w:r>
        <w:rPr>
          <w:rFonts w:hint="eastAsia" w:ascii="宋体" w:hAnsi="宋体" w:eastAsia="宋体" w:cs="宋体"/>
          <w:b/>
          <w:bCs/>
          <w:color w:val="FFFFFF" w:themeColor="background1"/>
          <w:sz w:val="32"/>
          <w:szCs w:val="32"/>
          <w:u w:val="thick"/>
          <w:lang w:val="en-US" w:eastAsia="zh-CN"/>
          <w14:textFill>
            <w14:solidFill>
              <w14:schemeClr w14:val="bg1"/>
            </w14:solidFill>
          </w14:textFill>
        </w:rPr>
        <w:t>1</w:t>
      </w:r>
      <w:r>
        <w:rPr>
          <w:rFonts w:hint="eastAsia" w:ascii="宋体" w:hAnsi="宋体" w:eastAsia="宋体" w:cs="宋体"/>
          <w:b/>
          <w:bCs/>
          <w:sz w:val="32"/>
          <w:szCs w:val="32"/>
          <w:u w:val="thick"/>
          <w:lang w:val="en-US" w:eastAsia="zh-CN"/>
        </w:rPr>
        <w:t xml:space="preserve">  </w:t>
      </w:r>
    </w:p>
    <w:p>
      <w:pPr>
        <w:spacing w:line="560" w:lineRule="atLeast"/>
        <w:ind w:firstLine="2570" w:firstLineChars="800"/>
        <w:jc w:val="left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校对：</w:t>
      </w:r>
      <w:r>
        <w:rPr>
          <w:rFonts w:hint="eastAsia" w:ascii="宋体" w:hAnsi="宋体" w:eastAsia="宋体" w:cs="宋体"/>
          <w:b/>
          <w:bCs/>
          <w:sz w:val="32"/>
          <w:szCs w:val="32"/>
          <w:u w:val="thick"/>
          <w:lang w:val="en-US" w:eastAsia="zh-CN"/>
        </w:rPr>
        <w:t xml:space="preserve">                  </w:t>
      </w:r>
      <w:r>
        <w:rPr>
          <w:rFonts w:hint="eastAsia" w:ascii="宋体" w:hAnsi="宋体" w:eastAsia="宋体" w:cs="宋体"/>
          <w:b/>
          <w:bCs/>
          <w:color w:val="FFFFFF" w:themeColor="background1"/>
          <w:sz w:val="32"/>
          <w:szCs w:val="32"/>
          <w:u w:val="thick"/>
          <w:lang w:val="en-US" w:eastAsia="zh-CN"/>
          <w14:textFill>
            <w14:solidFill>
              <w14:schemeClr w14:val="bg1"/>
            </w14:solidFill>
          </w14:textFill>
        </w:rPr>
        <w:t>1</w:t>
      </w:r>
      <w:r>
        <w:rPr>
          <w:rFonts w:hint="eastAsia" w:ascii="宋体" w:hAnsi="宋体" w:eastAsia="宋体" w:cs="宋体"/>
          <w:b/>
          <w:bCs/>
          <w:sz w:val="32"/>
          <w:szCs w:val="32"/>
          <w:u w:val="thick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/>
          <w:bCs/>
          <w:sz w:val="32"/>
          <w:szCs w:val="32"/>
          <w:u w:val="single"/>
          <w:lang w:val="en-US" w:eastAsia="zh-CN"/>
        </w:rPr>
        <w:t xml:space="preserve">                                                 </w:t>
      </w:r>
    </w:p>
    <w:p>
      <w:pPr>
        <w:spacing w:line="560" w:lineRule="atLeast"/>
        <w:ind w:firstLine="2570" w:firstLineChars="800"/>
        <w:jc w:val="left"/>
        <w:rPr>
          <w:rFonts w:hint="eastAsia" w:ascii="宋体" w:hAnsi="宋体" w:eastAsia="宋体" w:cs="宋体"/>
          <w:b/>
          <w:bCs/>
          <w:sz w:val="32"/>
          <w:szCs w:val="32"/>
          <w:u w:val="single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审批：</w:t>
      </w:r>
      <w:r>
        <w:rPr>
          <w:rFonts w:hint="eastAsia" w:ascii="宋体" w:hAnsi="宋体" w:eastAsia="宋体" w:cs="宋体"/>
          <w:b/>
          <w:bCs/>
          <w:sz w:val="32"/>
          <w:szCs w:val="32"/>
          <w:u w:val="thick"/>
          <w:lang w:val="en-US" w:eastAsia="zh-CN"/>
        </w:rPr>
        <w:t xml:space="preserve">                  </w:t>
      </w:r>
      <w:r>
        <w:rPr>
          <w:rFonts w:hint="eastAsia" w:ascii="宋体" w:hAnsi="宋体" w:eastAsia="宋体" w:cs="宋体"/>
          <w:b/>
          <w:bCs/>
          <w:color w:val="FFFFFF" w:themeColor="background1"/>
          <w:sz w:val="32"/>
          <w:szCs w:val="32"/>
          <w:u w:val="thick"/>
          <w:lang w:val="en-US" w:eastAsia="zh-CN"/>
          <w14:textFill>
            <w14:solidFill>
              <w14:schemeClr w14:val="bg1"/>
            </w14:solidFill>
          </w14:textFill>
        </w:rPr>
        <w:t>1</w:t>
      </w:r>
      <w:r>
        <w:rPr>
          <w:rFonts w:hint="eastAsia" w:ascii="宋体" w:hAnsi="宋体" w:eastAsia="宋体" w:cs="宋体"/>
          <w:b/>
          <w:bCs/>
          <w:sz w:val="32"/>
          <w:szCs w:val="32"/>
          <w:u w:val="thick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/>
          <w:bCs/>
          <w:sz w:val="32"/>
          <w:szCs w:val="32"/>
          <w:u w:val="single"/>
          <w:lang w:val="en-US" w:eastAsia="zh-CN"/>
        </w:rPr>
        <w:t xml:space="preserve">                                                  </w:t>
      </w:r>
    </w:p>
    <w:p>
      <w:pPr>
        <w:spacing w:line="560" w:lineRule="atLeast"/>
        <w:ind w:firstLine="2570" w:firstLineChars="800"/>
        <w:jc w:val="left"/>
        <w:rPr>
          <w:rFonts w:hint="eastAsia" w:ascii="宋体" w:hAnsi="宋体" w:eastAsia="宋体" w:cs="宋体"/>
          <w:b/>
          <w:bCs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单位：</w:t>
      </w:r>
      <w:r>
        <w:rPr>
          <w:rFonts w:hint="eastAsia" w:ascii="宋体" w:hAnsi="宋体" w:eastAsia="宋体" w:cs="宋体"/>
          <w:b/>
          <w:bCs/>
          <w:sz w:val="32"/>
          <w:szCs w:val="32"/>
          <w:u w:val="thick"/>
          <w:lang w:val="en-US" w:eastAsia="zh-CN"/>
        </w:rPr>
        <w:t xml:space="preserve">                  </w:t>
      </w:r>
      <w:r>
        <w:rPr>
          <w:rFonts w:hint="eastAsia" w:ascii="宋体" w:hAnsi="宋体" w:eastAsia="宋体" w:cs="宋体"/>
          <w:b/>
          <w:bCs/>
          <w:color w:val="FFFFFF" w:themeColor="background1"/>
          <w:sz w:val="32"/>
          <w:szCs w:val="32"/>
          <w:u w:val="thick"/>
          <w:lang w:val="en-US" w:eastAsia="zh-CN"/>
          <w14:textFill>
            <w14:solidFill>
              <w14:schemeClr w14:val="bg1"/>
            </w14:solidFill>
          </w14:textFill>
        </w:rPr>
        <w:t>1</w:t>
      </w:r>
      <w:r>
        <w:rPr>
          <w:rFonts w:hint="eastAsia" w:ascii="宋体" w:hAnsi="宋体" w:eastAsia="宋体" w:cs="宋体"/>
          <w:b/>
          <w:bCs/>
          <w:sz w:val="32"/>
          <w:szCs w:val="32"/>
          <w:u w:val="thick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/>
          <w:bCs/>
          <w:sz w:val="32"/>
          <w:szCs w:val="32"/>
          <w:u w:val="single"/>
          <w:lang w:val="en-US" w:eastAsia="zh-CN"/>
        </w:rPr>
        <w:t xml:space="preserve">                                      </w:t>
      </w:r>
    </w:p>
    <w:p>
      <w:pPr>
        <w:rPr>
          <w:rFonts w:hint="eastAsia" w:ascii="宋体" w:hAnsi="宋体" w:cs="Times New Roman"/>
          <w:bCs w:val="0"/>
          <w:sz w:val="36"/>
          <w:szCs w:val="36"/>
        </w:rPr>
      </w:pPr>
      <w:r>
        <w:rPr>
          <w:rFonts w:hint="eastAsia" w:ascii="宋体" w:hAnsi="宋体" w:cs="Times New Roman"/>
          <w:bCs w:val="0"/>
          <w:sz w:val="36"/>
          <w:szCs w:val="36"/>
        </w:rPr>
        <w:br w:type="page"/>
      </w:r>
    </w:p>
    <w:p>
      <w:pPr>
        <w:pStyle w:val="8"/>
        <w:spacing w:before="0" w:after="0" w:line="560" w:lineRule="exact"/>
        <w:jc w:val="center"/>
        <w:rPr>
          <w:rFonts w:hint="eastAsia" w:ascii="宋体" w:hAnsi="宋体" w:cs="Times New Roman"/>
          <w:bCs w:val="0"/>
          <w:sz w:val="36"/>
          <w:szCs w:val="36"/>
          <w:lang w:val="en-US" w:eastAsia="zh-CN"/>
        </w:rPr>
      </w:pPr>
      <w:r>
        <w:rPr>
          <w:rFonts w:hint="eastAsia" w:ascii="宋体" w:hAnsi="宋体" w:cs="Times New Roman"/>
          <w:bCs w:val="0"/>
          <w:sz w:val="36"/>
          <w:szCs w:val="36"/>
        </w:rPr>
        <w:t>淮北矿业</w:t>
      </w:r>
      <w:r>
        <w:rPr>
          <w:rFonts w:hint="eastAsia" w:ascii="宋体" w:hAnsi="宋体" w:cs="Times New Roman"/>
          <w:bCs w:val="0"/>
          <w:sz w:val="36"/>
          <w:szCs w:val="36"/>
          <w:lang w:val="en-US" w:eastAsia="zh-CN"/>
        </w:rPr>
        <w:t>股份有限公司2026年度</w:t>
      </w:r>
    </w:p>
    <w:p>
      <w:pPr>
        <w:pStyle w:val="8"/>
        <w:spacing w:before="0" w:after="0" w:line="560" w:lineRule="exact"/>
        <w:jc w:val="center"/>
        <w:rPr>
          <w:rFonts w:ascii="宋体" w:hAnsi="宋体" w:cs="Times New Roman"/>
          <w:bCs w:val="0"/>
          <w:sz w:val="36"/>
          <w:szCs w:val="36"/>
        </w:rPr>
      </w:pPr>
      <w:r>
        <w:rPr>
          <w:rFonts w:hint="eastAsia" w:ascii="宋体" w:hAnsi="宋体" w:cs="Times New Roman"/>
          <w:bCs w:val="0"/>
          <w:sz w:val="36"/>
          <w:szCs w:val="36"/>
        </w:rPr>
        <w:t>树脂锚杆锚固剂原材料</w:t>
      </w:r>
      <w:r>
        <w:rPr>
          <w:rFonts w:hint="eastAsia" w:ascii="宋体" w:hAnsi="宋体" w:cs="Times New Roman"/>
          <w:bCs w:val="0"/>
          <w:sz w:val="36"/>
          <w:szCs w:val="36"/>
          <w:lang w:val="en-US" w:eastAsia="zh-CN"/>
        </w:rPr>
        <w:t>采购</w:t>
      </w:r>
      <w:r>
        <w:rPr>
          <w:rFonts w:hint="eastAsia" w:ascii="宋体" w:hAnsi="宋体" w:cs="Times New Roman"/>
          <w:bCs w:val="0"/>
          <w:sz w:val="36"/>
          <w:szCs w:val="36"/>
        </w:rPr>
        <w:t>技术规格书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一、采购物资概况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kern w:val="2"/>
          <w:sz w:val="32"/>
          <w:szCs w:val="32"/>
        </w:rPr>
      </w:pPr>
      <w:r>
        <w:rPr>
          <w:rFonts w:hint="eastAsia" w:ascii="仿宋_GB2312" w:eastAsia="仿宋_GB2312"/>
          <w:kern w:val="2"/>
          <w:sz w:val="32"/>
          <w:szCs w:val="32"/>
        </w:rPr>
        <w:t>主要用于树脂锚杆锚固剂的生产制造。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u w:val="thick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二、采购物资范围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</w:pPr>
      <w:r>
        <w:rPr>
          <w:rFonts w:hint="eastAsia" w:ascii="仿宋_GB2312" w:eastAsia="仿宋_GB2312"/>
          <w:kern w:val="2"/>
          <w:sz w:val="32"/>
          <w:szCs w:val="32"/>
        </w:rPr>
        <w:t>树脂</w:t>
      </w:r>
      <w:r>
        <w:rPr>
          <w:rFonts w:hint="eastAsia" w:ascii="仿宋_GB2312" w:eastAsia="仿宋_GB2312"/>
          <w:kern w:val="2"/>
          <w:sz w:val="32"/>
          <w:szCs w:val="32"/>
          <w:lang w:val="en-US" w:eastAsia="zh-CN"/>
        </w:rPr>
        <w:t>锚杆</w:t>
      </w:r>
      <w:r>
        <w:rPr>
          <w:rFonts w:hint="eastAsia" w:ascii="仿宋_GB2312" w:eastAsia="仿宋_GB2312"/>
          <w:kern w:val="2"/>
          <w:sz w:val="32"/>
          <w:szCs w:val="32"/>
        </w:rPr>
        <w:t>锚固剂原材料一批，详见招标明细。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黑体" w:eastAsia="黑体" w:cs="Times New Roman"/>
          <w:kern w:val="2"/>
          <w:sz w:val="32"/>
          <w:szCs w:val="32"/>
        </w:rPr>
      </w:pPr>
      <w:r>
        <w:rPr>
          <w:rFonts w:hint="eastAsia" w:ascii="黑体" w:eastAsia="黑体"/>
          <w:sz w:val="32"/>
          <w:szCs w:val="32"/>
          <w:lang w:val="en-US" w:eastAsia="zh-CN"/>
        </w:rPr>
        <w:t>三</w:t>
      </w:r>
      <w:r>
        <w:rPr>
          <w:rFonts w:hint="eastAsia" w:ascii="黑体" w:eastAsia="黑体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技术参数</w:t>
      </w:r>
      <w:r>
        <w:rPr>
          <w:rFonts w:hint="eastAsia" w:ascii="黑体" w:eastAsia="黑体" w:cs="Times New Roman"/>
          <w:kern w:val="2"/>
          <w:sz w:val="32"/>
          <w:szCs w:val="32"/>
        </w:rPr>
        <w:t>及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执行标准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要求</w:t>
      </w:r>
    </w:p>
    <w:tbl>
      <w:tblPr>
        <w:tblStyle w:val="10"/>
        <w:tblW w:w="986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6"/>
        <w:gridCol w:w="2039"/>
        <w:gridCol w:w="3529"/>
        <w:gridCol w:w="276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物资编码</w:t>
            </w: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3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技术要求</w:t>
            </w:r>
          </w:p>
        </w:tc>
        <w:tc>
          <w:tcPr>
            <w:tcW w:w="2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执行标准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040040171001</w:t>
            </w: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锚固剂专用树脂</w:t>
            </w:r>
          </w:p>
        </w:tc>
        <w:tc>
          <w:tcPr>
            <w:tcW w:w="3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①粘度：0.45-0.5pa.s（冬季)、0.55-0. 65pa.s(夏季）；②凝胶时间：3＇-3＇30 "；③固体含量：65%-69%；④热稳定性（80℃）：≥24h</w:t>
            </w:r>
          </w:p>
        </w:tc>
        <w:tc>
          <w:tcPr>
            <w:tcW w:w="2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GB/T 8237-2025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040040171002</w:t>
            </w: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锚固剂专用树脂</w:t>
            </w:r>
          </w:p>
        </w:tc>
        <w:tc>
          <w:tcPr>
            <w:tcW w:w="3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①粘度：0.45-0.5pa.s（冬季)、0.55-0. 65pa.s(夏季）；②凝胶时间：2＇30 "±5 "；③固体含量：65%-69%；④热稳定性（80℃）：≥24h</w:t>
            </w:r>
          </w:p>
        </w:tc>
        <w:tc>
          <w:tcPr>
            <w:tcW w:w="2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GB/T 8237-2025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040010510011</w:t>
            </w: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二氧化硅</w:t>
            </w:r>
          </w:p>
        </w:tc>
        <w:tc>
          <w:tcPr>
            <w:tcW w:w="3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执行标准：HG/T 3061-2020。沉淀水合二氧化硅，外观为粉状。技术指标：①二氧化硅含量（灼品）：95%-98%；②45µm筛余物：≦0.5％；③PH值 5.0-8.0；④吸油值：200-350 10 ³m³/kg（粉状）</w:t>
            </w:r>
          </w:p>
        </w:tc>
        <w:tc>
          <w:tcPr>
            <w:tcW w:w="2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HG/T 3061-2020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040060510001</w:t>
            </w: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锚固剂促进剂</w:t>
            </w:r>
          </w:p>
        </w:tc>
        <w:tc>
          <w:tcPr>
            <w:tcW w:w="3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①密度：0.96克/毫升；②凝固点：≥2℃；③二甲基苯胺含量：≥99%</w:t>
            </w:r>
          </w:p>
        </w:tc>
        <w:tc>
          <w:tcPr>
            <w:tcW w:w="2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GB/T 26603-2011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040020510011</w:t>
            </w: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二甘醇</w:t>
            </w:r>
          </w:p>
        </w:tc>
        <w:tc>
          <w:tcPr>
            <w:tcW w:w="3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①水分：≤0.7%；②相对密度：1.1155-1.1170；③初馏点（103.1kpa）：≥240℃；④沸点：≥245℃</w:t>
            </w:r>
          </w:p>
        </w:tc>
        <w:tc>
          <w:tcPr>
            <w:tcW w:w="2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bookmarkStart w:id="0" w:name="OLE_LINK1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GB/T 4649-2018</w:t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040020520011</w:t>
            </w: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纤维素</w:t>
            </w:r>
          </w:p>
        </w:tc>
        <w:tc>
          <w:tcPr>
            <w:tcW w:w="3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食品级，①外观：白色或淡黄色流动粉未；②有效物含量%≥96%，DS≥0.9；③含水量％，≤10%；④ph值5.5-8.5</w:t>
            </w:r>
          </w:p>
        </w:tc>
        <w:tc>
          <w:tcPr>
            <w:tcW w:w="2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bookmarkStart w:id="1" w:name="OLE_LINK2"/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1886.232-2016</w:t>
            </w:r>
            <w:bookmarkEnd w:id="1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040080020011</w:t>
            </w: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过氧化苯甲酰</w:t>
            </w:r>
          </w:p>
        </w:tc>
        <w:tc>
          <w:tcPr>
            <w:tcW w:w="3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①外观：白色粉末状；②BPO含量（以干品计）：≥98%；③熔点（干品）：103-106℃</w:t>
            </w:r>
          </w:p>
        </w:tc>
        <w:tc>
          <w:tcPr>
            <w:tcW w:w="2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HG/T 2717-2014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040080020012</w:t>
            </w: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二氯过氧化苯甲酰</w:t>
            </w:r>
          </w:p>
        </w:tc>
        <w:tc>
          <w:tcPr>
            <w:tcW w:w="3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①过氧化物(DC)含量：≥70%；②含水量：25-30%</w:t>
            </w:r>
          </w:p>
        </w:tc>
        <w:tc>
          <w:tcPr>
            <w:tcW w:w="2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HG/T 2717-2014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210050011182</w:t>
            </w: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滑石粉</w:t>
            </w:r>
          </w:p>
        </w:tc>
        <w:tc>
          <w:tcPr>
            <w:tcW w:w="3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①白度：≥70%；②细度：45μm通过率≥97%，20μm通过率＜70%；③水分：≤1.0%；④pH:8.0-10.0</w:t>
            </w:r>
          </w:p>
        </w:tc>
        <w:tc>
          <w:tcPr>
            <w:tcW w:w="2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GB/T 15342-2023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210050020005</w:t>
            </w: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颜料</w:t>
            </w:r>
          </w:p>
        </w:tc>
        <w:tc>
          <w:tcPr>
            <w:tcW w:w="3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名称：群青 ①类型：Ⅰ型；②水溶物含量：≤1.0%；③游离硫含量：≤0.05%；④吸油量：20-70</w:t>
            </w:r>
          </w:p>
        </w:tc>
        <w:tc>
          <w:tcPr>
            <w:tcW w:w="2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bookmarkStart w:id="2" w:name="OLE_LINK3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GB/T 35962-2018</w:t>
            </w:r>
            <w:bookmarkEnd w:id="2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15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210050011183</w:t>
            </w:r>
          </w:p>
        </w:tc>
        <w:tc>
          <w:tcPr>
            <w:tcW w:w="20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锚固剂石粉</w:t>
            </w:r>
          </w:p>
        </w:tc>
        <w:tc>
          <w:tcPr>
            <w:tcW w:w="35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①外观：级配粗细混合，粉状；②高钙石灰石＞96%；③杂质含量：＜3%；④含水率：＜0.5%；⑤含杂质铁量＜0.1%；⑥不锈钢筛网通过范围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（12-2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0目：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%-10%；20-30目：10%-20%；30-50目：20%-30%；50目：＞40%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）</w:t>
            </w:r>
          </w:p>
        </w:tc>
        <w:tc>
          <w:tcPr>
            <w:tcW w:w="2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产品包装须符合危险化学品包装标准，坚固、密封、防潮，标签清晰注明产品名称、规格、批号、生产日期、保质期、危险警示标识等信息；包装容器由投标人按使用单位要求负责回收。逾期未回收的相关费用及损失由投标人承担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黑体" w:eastAsia="黑体"/>
          <w:sz w:val="32"/>
          <w:szCs w:val="32"/>
          <w:lang w:val="en-US" w:eastAsia="zh-CN"/>
        </w:rPr>
      </w:pPr>
      <w:r>
        <w:rPr>
          <w:rFonts w:hint="eastAsia" w:ascii="黑体" w:eastAsia="黑体"/>
          <w:sz w:val="32"/>
          <w:szCs w:val="32"/>
          <w:lang w:val="en-US" w:eastAsia="zh-CN"/>
        </w:rPr>
        <w:t>四、交货随行文件要求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27"/>
        <w:jc w:val="left"/>
        <w:textAlignment w:val="auto"/>
        <w:rPr>
          <w:rFonts w:hint="default" w:ascii="仿宋_GB2312" w:hAnsi="仿宋_GB2312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Times New Roman"/>
          <w:sz w:val="32"/>
          <w:szCs w:val="32"/>
          <w:lang w:val="en-US" w:eastAsia="zh-CN"/>
        </w:rPr>
        <w:t>表中材料首次供货时需提供质量合格证明文件。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eastAsia="黑体"/>
          <w:sz w:val="32"/>
          <w:szCs w:val="32"/>
          <w:lang w:val="en-US" w:eastAsia="zh-CN"/>
        </w:rPr>
        <w:t>五</w:t>
      </w:r>
      <w:r>
        <w:rPr>
          <w:rFonts w:hint="eastAsia" w:ascii="黑体" w:eastAsia="黑体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/>
          <w:color w:val="auto"/>
          <w:kern w:val="2"/>
          <w:sz w:val="32"/>
          <w:szCs w:val="32"/>
          <w:lang w:val="en-US" w:eastAsia="zh-CN" w:bidi="ar-SA"/>
        </w:rPr>
        <w:t>售后服务要求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eastAsia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除国家另有专门规定、招标文件有特殊要求或投标方有优惠条件外，按GB/T 16784-2025 工业产品售后服务总则执行，12个月内实行质量“三包”。质保期内若出现质量问题，中标方应在接到通知后的24小时内到达现场处理并提供解决方案。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黑体" w:eastAsia="黑体" w:hAnsiTheme="majorEastAsia"/>
          <w:sz w:val="32"/>
          <w:szCs w:val="32"/>
        </w:rPr>
      </w:pPr>
      <w:r>
        <w:rPr>
          <w:rFonts w:hint="eastAsia" w:ascii="黑体" w:eastAsia="黑体" w:hAnsiTheme="majorEastAsia"/>
          <w:sz w:val="32"/>
          <w:szCs w:val="32"/>
          <w:lang w:val="en-US" w:eastAsia="zh-CN"/>
        </w:rPr>
        <w:t>六</w:t>
      </w:r>
      <w:r>
        <w:rPr>
          <w:rFonts w:hint="eastAsia" w:ascii="黑体" w:eastAsia="黑体" w:hAnsiTheme="majorEastAsia"/>
          <w:sz w:val="32"/>
          <w:szCs w:val="32"/>
        </w:rPr>
        <w:t>、</w:t>
      </w:r>
      <w:r>
        <w:rPr>
          <w:rFonts w:hint="eastAsia" w:ascii="黑体" w:hAnsi="黑体" w:eastAsia="黑体" w:cs="黑体"/>
          <w:b w:val="0"/>
          <w:bCs/>
          <w:color w:val="auto"/>
          <w:kern w:val="2"/>
          <w:sz w:val="32"/>
          <w:szCs w:val="32"/>
          <w:lang w:val="en-US" w:eastAsia="zh-CN" w:bidi="ar-SA"/>
        </w:rPr>
        <w:t>交货时间及交货地点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仿宋_GB2312" w:eastAsia="仿宋_GB2312"/>
          <w:kern w:val="2"/>
          <w:sz w:val="32"/>
          <w:szCs w:val="32"/>
        </w:rPr>
      </w:pPr>
      <w:r>
        <w:rPr>
          <w:rFonts w:hint="eastAsia" w:ascii="仿宋_GB2312" w:eastAsia="仿宋_GB2312"/>
          <w:kern w:val="2"/>
          <w:sz w:val="32"/>
          <w:szCs w:val="32"/>
        </w:rPr>
        <w:t>交货</w:t>
      </w:r>
      <w:r>
        <w:rPr>
          <w:rFonts w:hint="eastAsia" w:ascii="仿宋_GB2312" w:eastAsia="仿宋_GB2312"/>
          <w:kern w:val="2"/>
          <w:sz w:val="32"/>
          <w:szCs w:val="32"/>
          <w:lang w:val="en-US" w:eastAsia="zh-CN"/>
        </w:rPr>
        <w:t>时间</w:t>
      </w:r>
      <w:r>
        <w:rPr>
          <w:rFonts w:hint="eastAsia" w:ascii="仿宋_GB2312" w:eastAsia="仿宋_GB2312"/>
          <w:kern w:val="2"/>
          <w:sz w:val="32"/>
          <w:szCs w:val="32"/>
        </w:rPr>
        <w:t>：</w:t>
      </w:r>
      <w:r>
        <w:rPr>
          <w:rFonts w:hint="eastAsia" w:ascii="仿宋_GB2312" w:eastAsia="仿宋_GB2312"/>
          <w:kern w:val="2"/>
          <w:sz w:val="32"/>
          <w:szCs w:val="32"/>
          <w:lang w:val="en-US" w:eastAsia="zh-CN"/>
        </w:rPr>
        <w:t>合同生效后</w:t>
      </w:r>
      <w:bookmarkStart w:id="3" w:name="_GoBack"/>
      <w:bookmarkEnd w:id="3"/>
      <w:r>
        <w:rPr>
          <w:rFonts w:hint="eastAsia" w:ascii="仿宋_GB2312" w:eastAsia="仿宋_GB2312"/>
          <w:kern w:val="2"/>
          <w:sz w:val="32"/>
          <w:szCs w:val="32"/>
          <w:lang w:val="en-US" w:eastAsia="zh-CN"/>
        </w:rPr>
        <w:t>30</w:t>
      </w:r>
      <w:r>
        <w:rPr>
          <w:rFonts w:hint="eastAsia" w:ascii="仿宋_GB2312" w:eastAsia="仿宋_GB2312"/>
          <w:kern w:val="2"/>
          <w:sz w:val="32"/>
          <w:szCs w:val="32"/>
        </w:rPr>
        <w:t>日内。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Times New Roman"/>
          <w:sz w:val="32"/>
          <w:szCs w:val="32"/>
        </w:rPr>
      </w:pPr>
      <w:r>
        <w:rPr>
          <w:rFonts w:hint="eastAsia" w:ascii="仿宋_GB2312" w:eastAsia="仿宋_GB2312"/>
          <w:kern w:val="2"/>
          <w:sz w:val="32"/>
          <w:szCs w:val="32"/>
        </w:rPr>
        <w:t>交货地点：淮北矿业股份有限公司下属生产装备分公司。</w:t>
      </w:r>
    </w:p>
    <w:sectPr>
      <w:endnotePr>
        <w:numFmt w:val="decimal"/>
      </w:endnotePr>
      <w:pgSz w:w="11906" w:h="16838"/>
      <w:pgMar w:top="1440" w:right="1080" w:bottom="1440" w:left="10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doNotCompress"/>
  <w:endnotePr>
    <w:numFmt w:val="decimal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FhYWI1NTYxOTcxNzAxZTc0MGFlZDlmNjlmOWMwMmUifQ=="/>
  </w:docVars>
  <w:rsids>
    <w:rsidRoot w:val="00CD4350"/>
    <w:rsid w:val="002F3610"/>
    <w:rsid w:val="003D3004"/>
    <w:rsid w:val="004866FA"/>
    <w:rsid w:val="004D54AC"/>
    <w:rsid w:val="004E0D70"/>
    <w:rsid w:val="00580965"/>
    <w:rsid w:val="00581377"/>
    <w:rsid w:val="006007F7"/>
    <w:rsid w:val="0076317B"/>
    <w:rsid w:val="00817707"/>
    <w:rsid w:val="009D62CB"/>
    <w:rsid w:val="00A904FB"/>
    <w:rsid w:val="00A96E3D"/>
    <w:rsid w:val="00B4573C"/>
    <w:rsid w:val="00BA3389"/>
    <w:rsid w:val="00C255AF"/>
    <w:rsid w:val="00C74ABD"/>
    <w:rsid w:val="00CD2885"/>
    <w:rsid w:val="00CD4350"/>
    <w:rsid w:val="00D31C0E"/>
    <w:rsid w:val="00E0476D"/>
    <w:rsid w:val="01C83D76"/>
    <w:rsid w:val="02402EC0"/>
    <w:rsid w:val="076C1031"/>
    <w:rsid w:val="07A9539A"/>
    <w:rsid w:val="143E13B6"/>
    <w:rsid w:val="19404D95"/>
    <w:rsid w:val="1C5F6766"/>
    <w:rsid w:val="20F35D5E"/>
    <w:rsid w:val="217210E6"/>
    <w:rsid w:val="269A49C4"/>
    <w:rsid w:val="278B0ED9"/>
    <w:rsid w:val="2DAD55FD"/>
    <w:rsid w:val="2F5F6178"/>
    <w:rsid w:val="319D67C8"/>
    <w:rsid w:val="36FB2D5E"/>
    <w:rsid w:val="375A1648"/>
    <w:rsid w:val="380C1B27"/>
    <w:rsid w:val="396A4EBA"/>
    <w:rsid w:val="3D9F2096"/>
    <w:rsid w:val="3E957D3A"/>
    <w:rsid w:val="3FC71E0E"/>
    <w:rsid w:val="457819F1"/>
    <w:rsid w:val="45B85B30"/>
    <w:rsid w:val="483212D4"/>
    <w:rsid w:val="48FC2EF5"/>
    <w:rsid w:val="4B091E33"/>
    <w:rsid w:val="4B9F78F4"/>
    <w:rsid w:val="4D0669E6"/>
    <w:rsid w:val="4F2C30EB"/>
    <w:rsid w:val="54BC771B"/>
    <w:rsid w:val="57434AA0"/>
    <w:rsid w:val="5EB23468"/>
    <w:rsid w:val="5F5D176B"/>
    <w:rsid w:val="61C750E9"/>
    <w:rsid w:val="6436412C"/>
    <w:rsid w:val="682B535C"/>
    <w:rsid w:val="75167F2B"/>
    <w:rsid w:val="7703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uiPriority="99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uiPriority="99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uiPriority="99" w:name="Strong"/>
    <w:lsdException w:uiPriority="99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1"/>
      <w:sz w:val="21"/>
      <w:szCs w:val="21"/>
      <w:lang w:val="en-US" w:eastAsia="zh-CN" w:bidi="ar-SA"/>
    </w:rPr>
  </w:style>
  <w:style w:type="paragraph" w:styleId="3">
    <w:name w:val="heading 2"/>
    <w:next w:val="1"/>
    <w:qFormat/>
    <w:uiPriority w:val="0"/>
    <w:pPr>
      <w:widowControl w:val="0"/>
      <w:jc w:val="both"/>
      <w:outlineLvl w:val="1"/>
    </w:pPr>
    <w:rPr>
      <w:rFonts w:ascii="黑体" w:hAnsi="黑体" w:eastAsia="黑体" w:cs="Times New Roman"/>
      <w:b/>
      <w:bCs/>
      <w:kern w:val="1"/>
      <w:sz w:val="21"/>
      <w:szCs w:val="32"/>
      <w:lang w:val="en-US" w:eastAsia="zh-CN" w:bidi="ar-SA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幼圆" w:hAnsi="Times New Roman" w:eastAsia="幼圆" w:cs="幼圆"/>
      <w:color w:val="000000"/>
      <w:sz w:val="24"/>
      <w:szCs w:val="24"/>
      <w:lang w:val="en-US" w:eastAsia="zh-CN" w:bidi="ar-SA"/>
    </w:rPr>
  </w:style>
  <w:style w:type="paragraph" w:styleId="4">
    <w:name w:val="Body Text Indent"/>
    <w:qFormat/>
    <w:uiPriority w:val="0"/>
    <w:pPr>
      <w:widowControl w:val="0"/>
      <w:spacing w:after="120"/>
      <w:ind w:left="420"/>
      <w:jc w:val="both"/>
    </w:pPr>
    <w:rPr>
      <w:rFonts w:ascii="Calibri" w:hAnsi="Calibri" w:eastAsia="宋体" w:cs="Calibri"/>
      <w:kern w:val="1"/>
      <w:sz w:val="21"/>
      <w:szCs w:val="21"/>
      <w:lang w:val="en-US" w:eastAsia="zh-CN" w:bidi="ar-SA"/>
    </w:rPr>
  </w:style>
  <w:style w:type="paragraph" w:styleId="5">
    <w:name w:val="Balloon Text"/>
    <w:qFormat/>
    <w:uiPriority w:val="0"/>
    <w:pPr>
      <w:widowControl w:val="0"/>
      <w:jc w:val="both"/>
    </w:pPr>
    <w:rPr>
      <w:rFonts w:ascii="Calibri" w:hAnsi="Calibri" w:eastAsia="宋体" w:cs="Calibri"/>
      <w:kern w:val="1"/>
      <w:sz w:val="18"/>
      <w:szCs w:val="18"/>
      <w:lang w:val="en-US" w:eastAsia="zh-CN" w:bidi="ar-SA"/>
    </w:rPr>
  </w:style>
  <w:style w:type="paragraph" w:styleId="6">
    <w:name w:val="footer"/>
    <w:basedOn w:val="1"/>
    <w:link w:val="2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itle"/>
    <w:basedOn w:val="1"/>
    <w:next w:val="1"/>
    <w:link w:val="29"/>
    <w:qFormat/>
    <w:uiPriority w:val="0"/>
    <w:pPr>
      <w:spacing w:before="240" w:after="60"/>
      <w:jc w:val="center"/>
      <w:outlineLvl w:val="0"/>
    </w:pPr>
    <w:rPr>
      <w:rFonts w:asciiTheme="majorHAnsi" w:hAnsiTheme="majorHAnsi" w:cstheme="majorBidi"/>
      <w:b/>
      <w:bCs/>
      <w:kern w:val="2"/>
      <w:sz w:val="32"/>
      <w:szCs w:val="32"/>
    </w:rPr>
  </w:style>
  <w:style w:type="paragraph" w:styleId="9">
    <w:name w:val="Body Text First Indent 2"/>
    <w:qFormat/>
    <w:uiPriority w:val="0"/>
    <w:pPr>
      <w:widowControl w:val="0"/>
      <w:ind w:firstLine="420"/>
      <w:jc w:val="both"/>
    </w:pPr>
    <w:rPr>
      <w:rFonts w:ascii="Times New Roman" w:hAnsi="Times New Roman" w:eastAsia="宋体" w:cs="Times New Roman"/>
      <w:kern w:val="1"/>
      <w:sz w:val="21"/>
      <w:szCs w:val="21"/>
      <w:lang w:val="en-US" w:eastAsia="zh-CN" w:bidi="ar-SA"/>
    </w:rPr>
  </w:style>
  <w:style w:type="character" w:styleId="12">
    <w:name w:val="Hyperlink"/>
    <w:basedOn w:val="11"/>
    <w:semiHidden/>
    <w:unhideWhenUsed/>
    <w:qFormat/>
    <w:uiPriority w:val="99"/>
    <w:rPr>
      <w:color w:val="0000FF"/>
      <w:u w:val="single"/>
    </w:rPr>
  </w:style>
  <w:style w:type="paragraph" w:customStyle="1" w:styleId="13">
    <w:name w:val="Footer"/>
    <w:qFormat/>
    <w:uiPriority w:val="0"/>
    <w:pPr>
      <w:widowControl w:val="0"/>
      <w:tabs>
        <w:tab w:val="center" w:pos="4153"/>
        <w:tab w:val="right" w:pos="8306"/>
      </w:tabs>
      <w:jc w:val="left"/>
    </w:pPr>
    <w:rPr>
      <w:rFonts w:ascii="Calibri" w:hAnsi="Calibri" w:eastAsia="宋体" w:cs="Calibri"/>
      <w:kern w:val="1"/>
      <w:sz w:val="18"/>
      <w:szCs w:val="18"/>
      <w:lang w:val="en-US" w:eastAsia="zh-CN" w:bidi="ar-SA"/>
    </w:rPr>
  </w:style>
  <w:style w:type="paragraph" w:customStyle="1" w:styleId="14">
    <w:name w:val="Header"/>
    <w:qFormat/>
    <w:uiPriority w:val="0"/>
    <w:pPr>
      <w:widowControl w:val="0"/>
      <w:pBdr>
        <w:top w:val="none" w:color="000000" w:sz="0" w:space="3"/>
        <w:left w:val="none" w:color="000000" w:sz="0" w:space="3"/>
        <w:bottom w:val="single" w:color="000000" w:sz="6" w:space="1"/>
        <w:right w:val="none" w:color="000000" w:sz="0" w:space="3"/>
        <w:between w:val="none" w:color="000000" w:sz="0" w:space="0"/>
      </w:pBdr>
      <w:tabs>
        <w:tab w:val="center" w:pos="4153"/>
        <w:tab w:val="right" w:pos="8306"/>
      </w:tabs>
      <w:jc w:val="center"/>
    </w:pPr>
    <w:rPr>
      <w:rFonts w:ascii="Calibri" w:hAnsi="Calibri" w:eastAsia="宋体" w:cs="Calibri"/>
      <w:kern w:val="1"/>
      <w:sz w:val="18"/>
      <w:szCs w:val="18"/>
      <w:lang w:val="en-US" w:eastAsia="zh-CN" w:bidi="ar-SA"/>
    </w:rPr>
  </w:style>
  <w:style w:type="paragraph" w:styleId="15">
    <w:name w:val="List Paragraph"/>
    <w:qFormat/>
    <w:uiPriority w:val="0"/>
    <w:pPr>
      <w:widowControl w:val="0"/>
      <w:ind w:firstLine="420"/>
      <w:jc w:val="both"/>
    </w:pPr>
    <w:rPr>
      <w:rFonts w:ascii="Calibri" w:hAnsi="Calibri" w:eastAsia="宋体" w:cs="Calibri"/>
      <w:kern w:val="1"/>
      <w:sz w:val="21"/>
      <w:szCs w:val="21"/>
      <w:lang w:val="en-US" w:eastAsia="zh-CN" w:bidi="ar-SA"/>
    </w:rPr>
  </w:style>
  <w:style w:type="paragraph" w:customStyle="1" w:styleId="16">
    <w:name w:val="一级条标题"/>
    <w:qFormat/>
    <w:uiPriority w:val="0"/>
    <w:pPr>
      <w:widowControl/>
      <w:ind w:left="1260" w:hanging="420"/>
      <w:jc w:val="both"/>
      <w:outlineLvl w:val="2"/>
    </w:pPr>
    <w:rPr>
      <w:rFonts w:ascii="黑体" w:hAnsi="黑体" w:eastAsia="黑体" w:cs="Times New Roman"/>
      <w:kern w:val="1"/>
      <w:sz w:val="21"/>
      <w:szCs w:val="20"/>
      <w:lang w:val="en-US" w:eastAsia="zh-CN" w:bidi="ar-SA"/>
    </w:rPr>
  </w:style>
  <w:style w:type="paragraph" w:customStyle="1" w:styleId="17">
    <w:name w:val="段"/>
    <w:qFormat/>
    <w:uiPriority w:val="0"/>
    <w:pPr>
      <w:widowControl/>
      <w:ind w:firstLine="200"/>
      <w:jc w:val="both"/>
    </w:pPr>
    <w:rPr>
      <w:rFonts w:ascii="宋体" w:hAnsi="宋体" w:eastAsia="宋体" w:cs="Times New Roman"/>
      <w:kern w:val="0"/>
      <w:sz w:val="21"/>
      <w:szCs w:val="20"/>
      <w:lang w:val="en-US" w:eastAsia="zh-CN" w:bidi="ar-SA"/>
    </w:rPr>
  </w:style>
  <w:style w:type="character" w:customStyle="1" w:styleId="18">
    <w:name w:val="页眉 Char"/>
    <w:qFormat/>
    <w:uiPriority w:val="0"/>
    <w:rPr>
      <w:rFonts w:cs="Times New Roman"/>
      <w:kern w:val="0"/>
      <w:sz w:val="18"/>
      <w:szCs w:val="18"/>
    </w:rPr>
  </w:style>
  <w:style w:type="character" w:customStyle="1" w:styleId="19">
    <w:name w:val="页脚 Char"/>
    <w:qFormat/>
    <w:uiPriority w:val="0"/>
    <w:rPr>
      <w:rFonts w:cs="Times New Roman"/>
      <w:kern w:val="0"/>
      <w:sz w:val="18"/>
      <w:szCs w:val="18"/>
    </w:rPr>
  </w:style>
  <w:style w:type="character" w:customStyle="1" w:styleId="20">
    <w:name w:val="正文文本缩进 Char"/>
    <w:qFormat/>
    <w:uiPriority w:val="0"/>
    <w:rPr>
      <w:rFonts w:cs="Times New Roman"/>
      <w:kern w:val="0"/>
    </w:rPr>
  </w:style>
  <w:style w:type="character" w:customStyle="1" w:styleId="21">
    <w:name w:val="Body Text First Indent 2 Char"/>
    <w:qFormat/>
    <w:uiPriority w:val="0"/>
    <w:rPr>
      <w:rFonts w:cs="Times New Roman"/>
      <w:kern w:val="0"/>
    </w:rPr>
  </w:style>
  <w:style w:type="character" w:customStyle="1" w:styleId="22">
    <w:name w:val="正文首行缩进 2 Char"/>
    <w:qFormat/>
    <w:uiPriority w:val="0"/>
    <w:rPr>
      <w:rFonts w:cs="Times New Roman"/>
      <w:sz w:val="24"/>
      <w:szCs w:val="24"/>
    </w:rPr>
  </w:style>
  <w:style w:type="character" w:customStyle="1" w:styleId="23">
    <w:name w:val="sh141"/>
    <w:qFormat/>
    <w:uiPriority w:val="0"/>
    <w:rPr>
      <w:color w:val="2B2B2B"/>
      <w:sz w:val="21"/>
      <w:szCs w:val="21"/>
    </w:rPr>
  </w:style>
  <w:style w:type="character" w:customStyle="1" w:styleId="24">
    <w:name w:val="一级条标题 Char Char"/>
    <w:qFormat/>
    <w:uiPriority w:val="0"/>
    <w:rPr>
      <w:rFonts w:ascii="黑体" w:hAnsi="黑体" w:eastAsia="黑体" w:cs="Times New Roman"/>
      <w:kern w:val="0"/>
      <w:szCs w:val="20"/>
    </w:rPr>
  </w:style>
  <w:style w:type="character" w:customStyle="1" w:styleId="25">
    <w:name w:val="批注框文本 Char"/>
    <w:qFormat/>
    <w:uiPriority w:val="0"/>
    <w:rPr>
      <w:rFonts w:cs="Calibri"/>
      <w:kern w:val="1"/>
      <w:sz w:val="18"/>
      <w:szCs w:val="18"/>
    </w:rPr>
  </w:style>
  <w:style w:type="character" w:customStyle="1" w:styleId="26">
    <w:name w:val="标题 2 Char"/>
    <w:qFormat/>
    <w:uiPriority w:val="0"/>
    <w:rPr>
      <w:rFonts w:ascii="黑体" w:hAnsi="黑体" w:eastAsia="黑体"/>
      <w:b/>
      <w:bCs/>
      <w:kern w:val="1"/>
      <w:sz w:val="21"/>
      <w:szCs w:val="32"/>
    </w:rPr>
  </w:style>
  <w:style w:type="character" w:customStyle="1" w:styleId="27">
    <w:name w:val="页眉 Char1"/>
    <w:basedOn w:val="11"/>
    <w:link w:val="7"/>
    <w:semiHidden/>
    <w:qFormat/>
    <w:uiPriority w:val="99"/>
    <w:rPr>
      <w:sz w:val="18"/>
      <w:szCs w:val="18"/>
    </w:rPr>
  </w:style>
  <w:style w:type="character" w:customStyle="1" w:styleId="28">
    <w:name w:val="页脚 Char1"/>
    <w:basedOn w:val="11"/>
    <w:link w:val="6"/>
    <w:semiHidden/>
    <w:qFormat/>
    <w:uiPriority w:val="99"/>
    <w:rPr>
      <w:sz w:val="18"/>
      <w:szCs w:val="18"/>
    </w:rPr>
  </w:style>
  <w:style w:type="character" w:customStyle="1" w:styleId="29">
    <w:name w:val="标题 Char"/>
    <w:basedOn w:val="11"/>
    <w:link w:val="8"/>
    <w:qFormat/>
    <w:uiPriority w:val="0"/>
    <w:rPr>
      <w:rFonts w:asciiTheme="majorHAnsi" w:hAnsiTheme="majorHAnsi" w:cstheme="maj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黑体"/>
        <a:ea typeface="黑体"/>
        <a:cs typeface="Times New Roman"/>
      </a:majorFont>
      <a:minorFont>
        <a:latin typeface="Calibri"/>
        <a:ea typeface="宋体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916</Words>
  <Characters>1423</Characters>
  <Lines>6</Lines>
  <Paragraphs>1</Paragraphs>
  <TotalTime>181</TotalTime>
  <ScaleCrop>false</ScaleCrop>
  <LinksUpToDate>false</LinksUpToDate>
  <CharactersWithSpaces>1664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2022-03-03T06:36:00Z</dcterms:created>
  <dc:creator>杜国强</dc:creator>
  <cp:lastModifiedBy>浩纳</cp:lastModifiedBy>
  <cp:lastPrinted>2026-02-03T02:06:00Z</cp:lastPrinted>
  <dcterms:modified xsi:type="dcterms:W3CDTF">2026-03-11T00:41:16Z</dcterms:modified>
  <cp:revision>60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816D0570EADF4CBD9C093228EF68972F_13</vt:lpwstr>
  </property>
  <property fmtid="{D5CDD505-2E9C-101B-9397-08002B2CF9AE}" pid="4" name="KSOTemplateDocerSaveRecord">
    <vt:lpwstr>eyJoZGlkIjoiMzdjNDJmMWUwZThmM2I0NGE0YmNmYTVhMGEzMGYzMTkiLCJ1c2VySWQiOiIyODg3ODYzNTAifQ==</vt:lpwstr>
  </property>
</Properties>
</file>