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8DEAA3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rPr>
          <w:sz w:val="32"/>
          <w:szCs w:val="32"/>
        </w:rPr>
      </w:pPr>
    </w:p>
    <w:p w14:paraId="27C18D19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项目名称：</w:t>
      </w:r>
    </w:p>
    <w:p w14:paraId="4CED3DE2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rPr>
          <w:sz w:val="44"/>
          <w:szCs w:val="44"/>
        </w:rPr>
      </w:pPr>
    </w:p>
    <w:p w14:paraId="7639704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/>
          <w:b/>
          <w:sz w:val="44"/>
          <w:szCs w:val="44"/>
        </w:rPr>
      </w:pPr>
    </w:p>
    <w:p w14:paraId="1E0FADF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auto"/>
        <w:jc w:val="center"/>
        <w:textAlignment w:val="auto"/>
        <w:rPr>
          <w:rFonts w:hint="eastAsia" w:ascii="黑体" w:hAnsi="黑体" w:eastAsia="黑体" w:cs="黑体"/>
          <w:b w:val="0"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6"/>
          <w:szCs w:val="36"/>
        </w:rPr>
        <w:t>淮北矿业</w:t>
      </w:r>
      <w:r>
        <w:rPr>
          <w:rFonts w:hint="eastAsia" w:ascii="黑体" w:hAnsi="黑体" w:eastAsia="黑体" w:cs="黑体"/>
          <w:b w:val="0"/>
          <w:bCs/>
          <w:sz w:val="36"/>
          <w:szCs w:val="36"/>
          <w:lang w:val="en-US" w:eastAsia="zh-CN"/>
        </w:rPr>
        <w:t>股份有限公司</w:t>
      </w:r>
    </w:p>
    <w:p w14:paraId="0DBE8BD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auto"/>
        <w:jc w:val="center"/>
        <w:textAlignment w:val="auto"/>
        <w:rPr>
          <w:rFonts w:hint="eastAsia" w:ascii="黑体" w:hAnsi="黑体" w:eastAsia="黑体" w:cs="黑体"/>
          <w:b w:val="0"/>
          <w:bCs/>
          <w:sz w:val="36"/>
          <w:szCs w:val="36"/>
        </w:rPr>
      </w:pPr>
      <w:r>
        <w:rPr>
          <w:rFonts w:hint="eastAsia" w:ascii="黑体" w:hAnsi="黑体" w:eastAsia="黑体" w:cs="黑体"/>
          <w:b w:val="0"/>
          <w:bCs/>
          <w:sz w:val="36"/>
          <w:szCs w:val="36"/>
        </w:rPr>
        <w:t>20</w:t>
      </w:r>
      <w:r>
        <w:rPr>
          <w:rFonts w:hint="eastAsia" w:ascii="黑体" w:hAnsi="黑体" w:eastAsia="黑体" w:cs="黑体"/>
          <w:b w:val="0"/>
          <w:bCs/>
          <w:sz w:val="36"/>
          <w:szCs w:val="36"/>
          <w:lang w:val="en-US" w:eastAsia="zh-CN"/>
        </w:rPr>
        <w:t>26</w:t>
      </w:r>
      <w:r>
        <w:rPr>
          <w:rFonts w:hint="eastAsia" w:ascii="黑体" w:hAnsi="黑体" w:eastAsia="黑体" w:cs="黑体"/>
          <w:b w:val="0"/>
          <w:bCs/>
          <w:sz w:val="36"/>
          <w:szCs w:val="36"/>
        </w:rPr>
        <w:t>年</w:t>
      </w:r>
      <w:r>
        <w:rPr>
          <w:rFonts w:hint="eastAsia" w:ascii="黑体" w:hAnsi="黑体" w:eastAsia="黑体" w:cs="黑体"/>
          <w:b w:val="0"/>
          <w:bCs/>
          <w:sz w:val="36"/>
          <w:szCs w:val="36"/>
          <w:lang w:val="en-US" w:eastAsia="zh-CN"/>
        </w:rPr>
        <w:t>一季度转子式混凝土喷射机</w:t>
      </w:r>
      <w:r>
        <w:rPr>
          <w:rFonts w:hint="eastAsia" w:ascii="黑体" w:hAnsi="黑体" w:eastAsia="黑体" w:cs="黑体"/>
          <w:b w:val="0"/>
          <w:bCs/>
          <w:sz w:val="36"/>
          <w:szCs w:val="36"/>
        </w:rPr>
        <w:t>及配件</w:t>
      </w:r>
    </w:p>
    <w:p w14:paraId="7E8BABB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auto"/>
        <w:jc w:val="center"/>
        <w:textAlignment w:val="auto"/>
        <w:rPr>
          <w:rFonts w:hint="eastAsia" w:ascii="黑体" w:hAnsi="黑体" w:eastAsia="黑体" w:cs="黑体"/>
          <w:b w:val="0"/>
          <w:bCs/>
          <w:sz w:val="36"/>
          <w:szCs w:val="36"/>
        </w:rPr>
      </w:pPr>
      <w:r>
        <w:rPr>
          <w:rFonts w:hint="eastAsia" w:ascii="黑体" w:hAnsi="黑体" w:eastAsia="黑体" w:cs="黑体"/>
          <w:b w:val="0"/>
          <w:bCs/>
          <w:sz w:val="36"/>
          <w:szCs w:val="36"/>
          <w:lang w:val="en-US" w:eastAsia="zh-CN"/>
        </w:rPr>
        <w:t>采购</w:t>
      </w:r>
      <w:r>
        <w:rPr>
          <w:rFonts w:hint="eastAsia" w:ascii="黑体" w:hAnsi="黑体" w:eastAsia="黑体" w:cs="黑体"/>
          <w:b w:val="0"/>
          <w:bCs/>
          <w:sz w:val="36"/>
          <w:szCs w:val="36"/>
        </w:rPr>
        <w:t>技术规格书</w:t>
      </w:r>
    </w:p>
    <w:p w14:paraId="00619AF9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rPr>
          <w:sz w:val="44"/>
          <w:szCs w:val="44"/>
        </w:rPr>
      </w:pPr>
    </w:p>
    <w:p w14:paraId="29C82997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rPr>
          <w:sz w:val="44"/>
          <w:szCs w:val="44"/>
        </w:rPr>
      </w:pPr>
    </w:p>
    <w:p w14:paraId="171722A4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rPr>
          <w:sz w:val="44"/>
          <w:szCs w:val="44"/>
        </w:rPr>
      </w:pPr>
    </w:p>
    <w:p w14:paraId="0CC72D15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rPr>
          <w:sz w:val="44"/>
          <w:szCs w:val="44"/>
        </w:rPr>
      </w:pPr>
    </w:p>
    <w:p w14:paraId="708C6229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rPr>
          <w:sz w:val="44"/>
          <w:szCs w:val="44"/>
        </w:rPr>
      </w:pPr>
    </w:p>
    <w:p w14:paraId="57372A20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rPr>
          <w:sz w:val="44"/>
          <w:szCs w:val="44"/>
        </w:rPr>
      </w:pPr>
    </w:p>
    <w:p w14:paraId="1AB4424A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rPr>
          <w:sz w:val="44"/>
          <w:szCs w:val="44"/>
        </w:rPr>
      </w:pPr>
    </w:p>
    <w:p w14:paraId="7C0F50D9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rPr>
          <w:sz w:val="44"/>
          <w:szCs w:val="44"/>
        </w:rPr>
      </w:pPr>
    </w:p>
    <w:p w14:paraId="3EDC6CB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720" w:lineRule="auto"/>
        <w:ind w:firstLine="3520" w:firstLineChars="1100"/>
        <w:jc w:val="both"/>
        <w:textAlignment w:val="auto"/>
        <w:rPr>
          <w:rFonts w:hint="eastAsia"/>
          <w:color w:val="auto"/>
          <w:sz w:val="32"/>
          <w:szCs w:val="32"/>
        </w:rPr>
      </w:pPr>
      <w:r>
        <w:rPr>
          <w:rFonts w:hint="eastAsia"/>
          <w:color w:val="auto"/>
          <w:sz w:val="32"/>
          <w:szCs w:val="32"/>
        </w:rPr>
        <w:t>编制：</w:t>
      </w:r>
      <w:r>
        <w:rPr>
          <w:rFonts w:hint="eastAsia" w:ascii="Times New Roman" w:hAnsi="Times New Roman"/>
          <w:color w:val="auto"/>
          <w:sz w:val="32"/>
          <w:szCs w:val="32"/>
          <w:u w:val="single"/>
        </w:rPr>
        <w:t xml:space="preserve">   </w:t>
      </w:r>
      <w:r>
        <w:rPr>
          <w:rFonts w:hint="eastAsia" w:ascii="Times New Roman" w:hAnsi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Times New Roman" w:hAnsi="Times New Roman"/>
          <w:color w:val="auto"/>
          <w:sz w:val="32"/>
          <w:szCs w:val="32"/>
          <w:u w:val="single"/>
        </w:rPr>
        <w:t xml:space="preserve">  </w:t>
      </w:r>
    </w:p>
    <w:p w14:paraId="244E01D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720" w:lineRule="auto"/>
        <w:ind w:firstLine="3520" w:firstLineChars="1100"/>
        <w:jc w:val="both"/>
        <w:textAlignment w:val="auto"/>
        <w:rPr>
          <w:rFonts w:hint="eastAsia"/>
          <w:color w:val="auto"/>
          <w:sz w:val="32"/>
          <w:szCs w:val="32"/>
        </w:rPr>
      </w:pPr>
      <w:r>
        <w:rPr>
          <w:rFonts w:hint="eastAsia"/>
          <w:color w:val="auto"/>
          <w:sz w:val="32"/>
          <w:szCs w:val="32"/>
          <w:lang w:val="en-US" w:eastAsia="zh-CN"/>
        </w:rPr>
        <w:t>审核</w:t>
      </w:r>
      <w:r>
        <w:rPr>
          <w:rFonts w:hint="eastAsia"/>
          <w:color w:val="auto"/>
          <w:sz w:val="32"/>
          <w:szCs w:val="32"/>
        </w:rPr>
        <w:t>：</w:t>
      </w:r>
      <w:r>
        <w:rPr>
          <w:rFonts w:hint="eastAsia" w:ascii="Times New Roman" w:hAnsi="Times New Roman"/>
          <w:color w:val="auto"/>
          <w:sz w:val="32"/>
          <w:szCs w:val="32"/>
          <w:u w:val="single"/>
        </w:rPr>
        <w:t xml:space="preserve">   </w:t>
      </w:r>
      <w:r>
        <w:rPr>
          <w:rFonts w:hint="eastAsia" w:ascii="Times New Roman" w:hAnsi="Times New Roman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Times New Roman" w:hAnsi="Times New Roman"/>
          <w:color w:val="auto"/>
          <w:sz w:val="32"/>
          <w:szCs w:val="32"/>
          <w:u w:val="single"/>
        </w:rPr>
        <w:t xml:space="preserve">  </w:t>
      </w:r>
    </w:p>
    <w:p w14:paraId="394A3B2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720" w:lineRule="auto"/>
        <w:ind w:firstLine="3520" w:firstLineChars="1100"/>
        <w:jc w:val="both"/>
        <w:textAlignment w:val="auto"/>
        <w:rPr>
          <w:rFonts w:hint="eastAsia" w:ascii="Times New Roman" w:hAnsi="Times New Roman"/>
          <w:color w:val="auto"/>
          <w:sz w:val="32"/>
          <w:szCs w:val="32"/>
          <w:u w:val="single"/>
        </w:rPr>
      </w:pPr>
      <w:r>
        <w:rPr>
          <w:rFonts w:hint="eastAsia"/>
          <w:color w:val="auto"/>
          <w:sz w:val="32"/>
          <w:szCs w:val="32"/>
          <w:lang w:val="en-US" w:eastAsia="zh-CN"/>
        </w:rPr>
        <w:t>批准</w:t>
      </w:r>
      <w:r>
        <w:rPr>
          <w:rFonts w:hint="eastAsia"/>
          <w:color w:val="auto"/>
          <w:sz w:val="32"/>
          <w:szCs w:val="32"/>
        </w:rPr>
        <w:t>：</w:t>
      </w:r>
      <w:r>
        <w:rPr>
          <w:rFonts w:hint="eastAsia" w:ascii="Times New Roman" w:hAnsi="Times New Roman"/>
          <w:color w:val="auto"/>
          <w:sz w:val="32"/>
          <w:szCs w:val="32"/>
          <w:u w:val="single"/>
        </w:rPr>
        <w:t xml:space="preserve">  </w:t>
      </w:r>
      <w:r>
        <w:rPr>
          <w:rFonts w:hint="eastAsia" w:ascii="Times New Roman" w:hAnsi="Times New Roman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Times New Roman" w:hAnsi="Times New Roman"/>
          <w:color w:val="auto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/>
          <w:color w:val="auto"/>
          <w:sz w:val="32"/>
          <w:szCs w:val="32"/>
          <w:u w:val="single"/>
        </w:rPr>
        <w:t xml:space="preserve">  </w:t>
      </w:r>
    </w:p>
    <w:p w14:paraId="2820D41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720" w:lineRule="auto"/>
        <w:ind w:firstLine="3520" w:firstLineChars="1100"/>
        <w:jc w:val="both"/>
        <w:textAlignment w:val="auto"/>
        <w:rPr>
          <w:rFonts w:hint="default" w:eastAsia="宋体"/>
          <w:color w:val="auto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日期</w:t>
      </w:r>
      <w:r>
        <w:rPr>
          <w:rFonts w:hint="eastAsia"/>
          <w:color w:val="auto"/>
          <w:sz w:val="32"/>
          <w:szCs w:val="32"/>
        </w:rPr>
        <w:t>：</w:t>
      </w:r>
      <w:r>
        <w:rPr>
          <w:rFonts w:hint="eastAsia" w:ascii="Times New Roman" w:hAnsi="Times New Roman"/>
          <w:color w:val="auto"/>
          <w:sz w:val="32"/>
          <w:szCs w:val="32"/>
          <w:u w:val="single"/>
        </w:rPr>
        <w:t xml:space="preserve">  </w:t>
      </w:r>
      <w:r>
        <w:rPr>
          <w:rFonts w:hint="eastAsia" w:ascii="Times New Roman" w:hAnsi="Times New Roman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Times New Roman" w:hAnsi="Times New Roman"/>
          <w:color w:val="auto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Times New Roman" w:hAnsi="Times New Roman"/>
          <w:color w:val="auto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Times New Roman" w:hAnsi="Times New Roman"/>
          <w:color w:val="auto"/>
          <w:sz w:val="32"/>
          <w:szCs w:val="32"/>
          <w:u w:val="single"/>
        </w:rPr>
        <w:t xml:space="preserve"> </w:t>
      </w:r>
    </w:p>
    <w:p w14:paraId="688BD19D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rPr>
          <w:sz w:val="32"/>
          <w:szCs w:val="32"/>
        </w:rPr>
      </w:pPr>
    </w:p>
    <w:p w14:paraId="3EDE6A70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jc w:val="center"/>
        <w:rPr>
          <w:rFonts w:hint="eastAsia" w:asciiTheme="majorEastAsia" w:hAnsiTheme="majorEastAsia" w:eastAsiaTheme="majorEastAsia"/>
          <w:b/>
          <w:sz w:val="36"/>
          <w:szCs w:val="36"/>
        </w:rPr>
        <w:sectPr>
          <w:headerReference r:id="rId3" w:type="default"/>
          <w:footerReference r:id="rId4" w:type="default"/>
          <w:pgSz w:w="11906" w:h="16838"/>
          <w:pgMar w:top="1134" w:right="1134" w:bottom="1134" w:left="1417" w:header="851" w:footer="851" w:gutter="0"/>
          <w:pgNumType w:start="1"/>
          <w:cols w:space="720" w:num="1"/>
          <w:docGrid w:type="lines" w:linePitch="312" w:charSpace="0"/>
        </w:sectPr>
      </w:pPr>
      <w:r>
        <w:rPr>
          <w:rFonts w:hint="eastAsia" w:ascii="黑体" w:hAnsi="黑体" w:eastAsia="黑体" w:cs="黑体"/>
          <w:sz w:val="32"/>
          <w:szCs w:val="32"/>
        </w:rPr>
        <w:t>单位（盖章）：</w:t>
      </w:r>
      <w:r>
        <w:rPr>
          <w:rFonts w:hint="eastAsia" w:ascii="黑体" w:hAnsi="黑体" w:eastAsia="黑体" w:cs="黑体"/>
          <w:sz w:val="32"/>
          <w:szCs w:val="32"/>
          <w:u w:val="single"/>
        </w:rPr>
        <w:t>淮北矿业股份有限公司生产管理部</w:t>
      </w:r>
    </w:p>
    <w:p w14:paraId="75998057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jc w:val="center"/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淮北矿业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股份有限公司</w:t>
      </w:r>
    </w:p>
    <w:p w14:paraId="737DA3A8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jc w:val="center"/>
        <w:rPr>
          <w:rFonts w:hint="eastAsia"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202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6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年</w:t>
      </w: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一季度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转子式混凝土喷射机及配件</w:t>
      </w:r>
    </w:p>
    <w:p w14:paraId="65F1A347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  <w:lang w:val="en-US" w:eastAsia="zh-CN"/>
        </w:rPr>
        <w:t>采购</w:t>
      </w:r>
      <w:r>
        <w:rPr>
          <w:rFonts w:hint="eastAsia" w:asciiTheme="majorEastAsia" w:hAnsiTheme="majorEastAsia" w:eastAsiaTheme="majorEastAsia"/>
          <w:b/>
          <w:sz w:val="36"/>
          <w:szCs w:val="36"/>
        </w:rPr>
        <w:t>技术规格书</w:t>
      </w:r>
    </w:p>
    <w:p w14:paraId="32DF60A3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ind w:firstLine="640" w:firstLineChars="200"/>
        <w:rPr>
          <w:rFonts w:hint="eastAsia" w:ascii="黑体" w:hAnsi="黑体" w:eastAsia="黑体" w:cs="黑体"/>
          <w:sz w:val="32"/>
        </w:rPr>
      </w:pPr>
    </w:p>
    <w:p w14:paraId="040B65A7">
      <w:pPr>
        <w:pStyle w:val="3"/>
        <w:keepNext w:val="0"/>
        <w:keepLines w:val="0"/>
        <w:pageBreakBefore w:val="0"/>
        <w:widowControl w:val="0"/>
        <w:kinsoku w:val="0"/>
        <w:wordWrap w:val="0"/>
        <w:overflowPunct w:val="0"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黑体" w:hAnsi="Times New Roman" w:cs="Times New Roman"/>
          <w:b w:val="0"/>
          <w:bCs w:val="0"/>
          <w:color w:val="auto"/>
          <w:sz w:val="32"/>
        </w:rPr>
      </w:pPr>
      <w:r>
        <w:rPr>
          <w:rFonts w:hint="eastAsia" w:ascii="黑体" w:hAnsi="Times New Roman" w:cs="Times New Roman"/>
          <w:b w:val="0"/>
          <w:bCs w:val="0"/>
          <w:color w:val="auto"/>
          <w:sz w:val="32"/>
        </w:rPr>
        <w:t>一、</w:t>
      </w:r>
      <w:r>
        <w:rPr>
          <w:rFonts w:hint="eastAsia" w:ascii="黑体" w:hAnsi="Times New Roman" w:cs="Times New Roman"/>
          <w:b w:val="0"/>
          <w:bCs w:val="0"/>
          <w:color w:val="auto"/>
          <w:sz w:val="32"/>
          <w:lang w:val="en-US" w:eastAsia="zh-CN"/>
        </w:rPr>
        <w:t>采购物资概况</w:t>
      </w:r>
    </w:p>
    <w:p w14:paraId="119F30F3">
      <w:pPr>
        <w:pStyle w:val="3"/>
        <w:keepNext w:val="0"/>
        <w:keepLines w:val="0"/>
        <w:pageBreakBefore w:val="0"/>
        <w:widowControl w:val="0"/>
        <w:kinsoku w:val="0"/>
        <w:wordWrap w:val="0"/>
        <w:overflowPunct w:val="0"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kern w:val="2"/>
          <w:sz w:val="32"/>
          <w:szCs w:val="32"/>
          <w:lang w:val="en-US" w:eastAsia="zh-CN" w:bidi="ar-SA"/>
        </w:rPr>
        <w:t>（一）用途</w:t>
      </w:r>
    </w:p>
    <w:p w14:paraId="572B329A">
      <w:pPr>
        <w:pStyle w:val="3"/>
        <w:keepNext w:val="0"/>
        <w:keepLines w:val="0"/>
        <w:pageBreakBefore w:val="0"/>
        <w:widowControl w:val="0"/>
        <w:kinsoku w:val="0"/>
        <w:wordWrap w:val="0"/>
        <w:overflowPunct w:val="0"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Calibri" w:eastAsia="仿宋_GB2312" w:cs="黑体"/>
          <w:b w:val="0"/>
          <w:bCs w:val="0"/>
          <w:kern w:val="2"/>
          <w:sz w:val="32"/>
          <w:szCs w:val="22"/>
          <w:lang w:val="en-US" w:eastAsia="zh-CN" w:bidi="ar-SA"/>
        </w:rPr>
      </w:pPr>
      <w:r>
        <w:rPr>
          <w:rFonts w:hint="eastAsia" w:ascii="仿宋_GB2312" w:hAnsi="Calibri" w:eastAsia="仿宋_GB2312" w:cs="黑体"/>
          <w:b w:val="0"/>
          <w:bCs w:val="0"/>
          <w:kern w:val="2"/>
          <w:sz w:val="32"/>
          <w:szCs w:val="22"/>
          <w:lang w:val="en-US" w:eastAsia="zh-CN" w:bidi="ar-SA"/>
        </w:rPr>
        <w:t>用于淮北矿业股份有限公司下属生产矿井及工程处掘进工作面施工。</w:t>
      </w:r>
    </w:p>
    <w:p w14:paraId="3D106212">
      <w:pPr>
        <w:pStyle w:val="3"/>
        <w:keepNext w:val="0"/>
        <w:keepLines w:val="0"/>
        <w:pageBreakBefore w:val="0"/>
        <w:widowControl w:val="0"/>
        <w:kinsoku w:val="0"/>
        <w:wordWrap w:val="0"/>
        <w:overflowPunct w:val="0"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kern w:val="2"/>
          <w:sz w:val="32"/>
          <w:szCs w:val="32"/>
          <w:lang w:val="en-US" w:eastAsia="zh-CN" w:bidi="ar-SA"/>
        </w:rPr>
        <w:t>（二）使用环境条件</w:t>
      </w:r>
    </w:p>
    <w:p w14:paraId="097886F0">
      <w:pPr>
        <w:pStyle w:val="3"/>
        <w:keepNext w:val="0"/>
        <w:keepLines w:val="0"/>
        <w:pageBreakBefore w:val="0"/>
        <w:widowControl w:val="0"/>
        <w:kinsoku w:val="0"/>
        <w:wordWrap w:val="0"/>
        <w:overflowPunct w:val="0"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Calibri" w:eastAsia="仿宋_GB2312" w:cs="黑体"/>
          <w:b w:val="0"/>
          <w:bCs w:val="0"/>
          <w:kern w:val="2"/>
          <w:sz w:val="32"/>
          <w:szCs w:val="22"/>
          <w:lang w:val="en-US" w:eastAsia="zh-CN" w:bidi="ar-SA"/>
        </w:rPr>
      </w:pPr>
      <w:r>
        <w:rPr>
          <w:rFonts w:hint="eastAsia" w:ascii="仿宋_GB2312" w:hAnsi="Calibri" w:eastAsia="仿宋_GB2312" w:cs="黑体"/>
          <w:b w:val="0"/>
          <w:bCs w:val="0"/>
          <w:kern w:val="2"/>
          <w:sz w:val="32"/>
          <w:szCs w:val="22"/>
          <w:lang w:val="en-US" w:eastAsia="zh-CN" w:bidi="ar-SA"/>
        </w:rPr>
        <w:t>1.适应于煤矿井下喷浆料的远距离泵送，适用于潮式和湿式喷浆工艺。</w:t>
      </w:r>
    </w:p>
    <w:p w14:paraId="17914B43">
      <w:pPr>
        <w:pStyle w:val="3"/>
        <w:keepNext w:val="0"/>
        <w:keepLines w:val="0"/>
        <w:pageBreakBefore w:val="0"/>
        <w:widowControl w:val="0"/>
        <w:kinsoku w:val="0"/>
        <w:wordWrap w:val="0"/>
        <w:overflowPunct w:val="0"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Calibri" w:eastAsia="仿宋_GB2312" w:cs="黑体"/>
          <w:b w:val="0"/>
          <w:bCs w:val="0"/>
          <w:kern w:val="2"/>
          <w:sz w:val="32"/>
          <w:szCs w:val="22"/>
          <w:lang w:val="en-US" w:eastAsia="zh-CN" w:bidi="ar-SA"/>
        </w:rPr>
      </w:pPr>
      <w:r>
        <w:rPr>
          <w:rFonts w:hint="eastAsia" w:ascii="仿宋_GB2312" w:hAnsi="Calibri" w:eastAsia="仿宋_GB2312" w:cs="黑体"/>
          <w:b w:val="0"/>
          <w:bCs w:val="0"/>
          <w:kern w:val="2"/>
          <w:sz w:val="32"/>
          <w:szCs w:val="22"/>
          <w:lang w:val="en-US" w:eastAsia="zh-CN" w:bidi="ar-SA"/>
        </w:rPr>
        <w:t>2.周围环境温度不高于+40°C，不低于-20°C。</w:t>
      </w:r>
    </w:p>
    <w:p w14:paraId="2E945728">
      <w:pPr>
        <w:pStyle w:val="3"/>
        <w:keepNext w:val="0"/>
        <w:keepLines w:val="0"/>
        <w:pageBreakBefore w:val="0"/>
        <w:widowControl w:val="0"/>
        <w:kinsoku w:val="0"/>
        <w:wordWrap w:val="0"/>
        <w:overflowPunct w:val="0"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Calibri" w:eastAsia="仿宋_GB2312" w:cs="黑体"/>
          <w:b w:val="0"/>
          <w:bCs w:val="0"/>
          <w:kern w:val="2"/>
          <w:sz w:val="32"/>
          <w:szCs w:val="22"/>
          <w:lang w:val="en-US" w:eastAsia="zh-CN" w:bidi="ar-SA"/>
        </w:rPr>
      </w:pPr>
      <w:r>
        <w:rPr>
          <w:rFonts w:hint="eastAsia" w:ascii="仿宋_GB2312" w:hAnsi="Calibri" w:eastAsia="仿宋_GB2312" w:cs="黑体"/>
          <w:b w:val="0"/>
          <w:bCs w:val="0"/>
          <w:kern w:val="2"/>
          <w:sz w:val="32"/>
          <w:szCs w:val="22"/>
          <w:lang w:val="en-US" w:eastAsia="zh-CN" w:bidi="ar-SA"/>
        </w:rPr>
        <w:t>3.工作面供电电压：660/1140V。</w:t>
      </w:r>
    </w:p>
    <w:p w14:paraId="7279C9B7">
      <w:pPr>
        <w:pStyle w:val="3"/>
        <w:keepNext w:val="0"/>
        <w:keepLines w:val="0"/>
        <w:pageBreakBefore w:val="0"/>
        <w:widowControl w:val="0"/>
        <w:kinsoku w:val="0"/>
        <w:wordWrap w:val="0"/>
        <w:overflowPunct w:val="0"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Calibri" w:eastAsia="仿宋_GB2312" w:cs="黑体"/>
          <w:b w:val="0"/>
          <w:bCs w:val="0"/>
          <w:kern w:val="2"/>
          <w:sz w:val="32"/>
          <w:szCs w:val="22"/>
          <w:lang w:val="en-US" w:eastAsia="zh-CN" w:bidi="ar-SA"/>
        </w:rPr>
      </w:pPr>
      <w:r>
        <w:rPr>
          <w:rFonts w:hint="eastAsia" w:ascii="仿宋_GB2312" w:hAnsi="Calibri" w:eastAsia="仿宋_GB2312" w:cs="黑体"/>
          <w:b w:val="0"/>
          <w:bCs w:val="0"/>
          <w:kern w:val="2"/>
          <w:sz w:val="32"/>
          <w:szCs w:val="22"/>
          <w:lang w:val="en-US" w:eastAsia="zh-CN" w:bidi="ar-SA"/>
        </w:rPr>
        <w:t>4.环境噪音：不大于85dB。</w:t>
      </w:r>
    </w:p>
    <w:p w14:paraId="4C8A16E6">
      <w:pPr>
        <w:pStyle w:val="3"/>
        <w:keepNext w:val="0"/>
        <w:keepLines w:val="0"/>
        <w:pageBreakBefore w:val="0"/>
        <w:widowControl w:val="0"/>
        <w:kinsoku w:val="0"/>
        <w:wordWrap w:val="0"/>
        <w:overflowPunct w:val="0"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Calibri" w:eastAsia="仿宋_GB2312" w:cs="黑体"/>
          <w:b w:val="0"/>
          <w:bCs w:val="0"/>
          <w:kern w:val="2"/>
          <w:sz w:val="32"/>
          <w:szCs w:val="22"/>
          <w:lang w:val="en-US" w:eastAsia="zh-CN" w:bidi="ar-SA"/>
        </w:rPr>
      </w:pPr>
      <w:r>
        <w:rPr>
          <w:rFonts w:hint="eastAsia" w:ascii="仿宋_GB2312" w:hAnsi="Calibri" w:eastAsia="仿宋_GB2312" w:cs="黑体"/>
          <w:b w:val="0"/>
          <w:bCs w:val="0"/>
          <w:kern w:val="2"/>
          <w:sz w:val="32"/>
          <w:szCs w:val="22"/>
          <w:lang w:val="en-US" w:eastAsia="zh-CN" w:bidi="ar-SA"/>
        </w:rPr>
        <w:t>5.混凝土喷射机所配电机、电器设备需具有隔爆性能，矿用产品安全标志证书、防爆合格证应在有效期内，可用于含有煤尘的矿井中。</w:t>
      </w:r>
    </w:p>
    <w:p w14:paraId="66008EE3">
      <w:pPr>
        <w:pStyle w:val="3"/>
        <w:keepNext w:val="0"/>
        <w:keepLines w:val="0"/>
        <w:pageBreakBefore w:val="0"/>
        <w:widowControl w:val="0"/>
        <w:kinsoku w:val="0"/>
        <w:wordWrap w:val="0"/>
        <w:overflowPunct w:val="0"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黑体" w:hAnsi="Times New Roman" w:cs="Times New Roman"/>
          <w:b w:val="0"/>
          <w:bCs w:val="0"/>
          <w:color w:val="auto"/>
          <w:sz w:val="32"/>
          <w:lang w:val="en-US" w:eastAsia="zh-CN"/>
        </w:rPr>
      </w:pPr>
      <w:r>
        <w:rPr>
          <w:rFonts w:hint="eastAsia" w:ascii="黑体" w:hAnsi="Times New Roman" w:cs="Times New Roman"/>
          <w:b w:val="0"/>
          <w:bCs w:val="0"/>
          <w:color w:val="auto"/>
          <w:sz w:val="32"/>
        </w:rPr>
        <w:t>二、</w:t>
      </w:r>
      <w:r>
        <w:rPr>
          <w:rFonts w:hint="eastAsia" w:ascii="黑体" w:hAnsi="Times New Roman" w:cs="Times New Roman"/>
          <w:b w:val="0"/>
          <w:bCs w:val="0"/>
          <w:color w:val="auto"/>
          <w:sz w:val="32"/>
          <w:lang w:val="en-US" w:eastAsia="zh-CN"/>
        </w:rPr>
        <w:t>采购物资范围</w:t>
      </w:r>
    </w:p>
    <w:p w14:paraId="7E0B634C">
      <w:pPr>
        <w:pStyle w:val="3"/>
        <w:keepNext w:val="0"/>
        <w:keepLines w:val="0"/>
        <w:pageBreakBefore w:val="0"/>
        <w:widowControl w:val="0"/>
        <w:kinsoku w:val="0"/>
        <w:wordWrap w:val="0"/>
        <w:overflowPunct w:val="0"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rPr>
          <w:rFonts w:hint="eastAsia" w:ascii="仿宋_GB2312" w:hAnsi="Calibri" w:eastAsia="仿宋_GB2312" w:cs="黑体"/>
          <w:b w:val="0"/>
          <w:bCs w:val="0"/>
          <w:kern w:val="2"/>
          <w:sz w:val="32"/>
          <w:szCs w:val="22"/>
          <w:lang w:val="en-US" w:eastAsia="zh-CN" w:bidi="ar-SA"/>
        </w:rPr>
      </w:pPr>
      <w:r>
        <w:rPr>
          <w:rFonts w:hint="eastAsia" w:ascii="仿宋_GB2312" w:hAnsi="Calibri" w:eastAsia="仿宋_GB2312" w:cs="黑体"/>
          <w:b w:val="0"/>
          <w:bCs w:val="0"/>
          <w:kern w:val="2"/>
          <w:sz w:val="32"/>
          <w:szCs w:val="22"/>
          <w:lang w:val="en-US" w:eastAsia="zh-CN" w:bidi="ar-SA"/>
        </w:rPr>
        <w:t>转子式混凝土喷射机30台。</w:t>
      </w:r>
    </w:p>
    <w:p w14:paraId="50E62B4D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ind w:firstLine="640" w:firstLineChars="200"/>
        <w:rPr>
          <w:rFonts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</w:rPr>
        <w:t>三、主要技术参数及</w:t>
      </w:r>
      <w:r>
        <w:rPr>
          <w:rFonts w:hint="eastAsia" w:ascii="黑体" w:hAnsi="黑体" w:eastAsia="黑体" w:cs="黑体"/>
          <w:sz w:val="32"/>
          <w:lang w:val="en-US" w:eastAsia="zh-CN"/>
        </w:rPr>
        <w:t>技术</w:t>
      </w:r>
      <w:r>
        <w:rPr>
          <w:rFonts w:hint="eastAsia" w:ascii="黑体" w:hAnsi="黑体" w:eastAsia="黑体" w:cs="黑体"/>
          <w:sz w:val="32"/>
        </w:rPr>
        <w:t>要求</w:t>
      </w:r>
    </w:p>
    <w:p w14:paraId="4B03BEBF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ind w:firstLine="630" w:firstLineChars="196"/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（一）主要技术参数</w:t>
      </w:r>
    </w:p>
    <w:tbl>
      <w:tblPr>
        <w:tblStyle w:val="15"/>
        <w:tblW w:w="901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9"/>
        <w:gridCol w:w="1843"/>
        <w:gridCol w:w="1841"/>
        <w:gridCol w:w="1593"/>
        <w:gridCol w:w="2561"/>
      </w:tblGrid>
      <w:tr w14:paraId="5756D8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57F0D040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序 号</w:t>
            </w:r>
          </w:p>
        </w:tc>
        <w:tc>
          <w:tcPr>
            <w:tcW w:w="3684" w:type="dxa"/>
            <w:gridSpan w:val="2"/>
            <w:vAlign w:val="center"/>
          </w:tcPr>
          <w:p w14:paraId="00EF8A5C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项    目</w:t>
            </w:r>
          </w:p>
        </w:tc>
        <w:tc>
          <w:tcPr>
            <w:tcW w:w="1593" w:type="dxa"/>
            <w:vAlign w:val="center"/>
          </w:tcPr>
          <w:p w14:paraId="2AE4FAA4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单  位</w:t>
            </w:r>
          </w:p>
        </w:tc>
        <w:tc>
          <w:tcPr>
            <w:tcW w:w="2561" w:type="dxa"/>
            <w:vAlign w:val="center"/>
          </w:tcPr>
          <w:p w14:paraId="2CD0BDFF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参数值</w:t>
            </w:r>
          </w:p>
        </w:tc>
      </w:tr>
      <w:tr w14:paraId="1EFC5A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3F344BE5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3684" w:type="dxa"/>
            <w:gridSpan w:val="2"/>
            <w:vAlign w:val="center"/>
          </w:tcPr>
          <w:p w14:paraId="1320070F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输出量</w:t>
            </w:r>
          </w:p>
        </w:tc>
        <w:tc>
          <w:tcPr>
            <w:tcW w:w="1593" w:type="dxa"/>
            <w:vAlign w:val="center"/>
          </w:tcPr>
          <w:p w14:paraId="67AC3A4D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m³/h</w:t>
            </w:r>
          </w:p>
        </w:tc>
        <w:tc>
          <w:tcPr>
            <w:tcW w:w="2561" w:type="dxa"/>
            <w:vAlign w:val="center"/>
          </w:tcPr>
          <w:p w14:paraId="6F618DDA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≥3</w:t>
            </w:r>
          </w:p>
        </w:tc>
      </w:tr>
      <w:tr w14:paraId="761DD8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193EA6EA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3684" w:type="dxa"/>
            <w:gridSpan w:val="2"/>
            <w:vAlign w:val="center"/>
          </w:tcPr>
          <w:p w14:paraId="0E51D0F5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最大骨料直径</w:t>
            </w:r>
          </w:p>
        </w:tc>
        <w:tc>
          <w:tcPr>
            <w:tcW w:w="1593" w:type="dxa"/>
            <w:vAlign w:val="center"/>
          </w:tcPr>
          <w:p w14:paraId="7606EE0B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mm</w:t>
            </w:r>
          </w:p>
        </w:tc>
        <w:tc>
          <w:tcPr>
            <w:tcW w:w="2561" w:type="dxa"/>
            <w:vAlign w:val="center"/>
          </w:tcPr>
          <w:p w14:paraId="33B56C81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≤20</w:t>
            </w:r>
          </w:p>
        </w:tc>
      </w:tr>
      <w:tr w14:paraId="68B052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698AB222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3684" w:type="dxa"/>
            <w:gridSpan w:val="2"/>
            <w:vAlign w:val="center"/>
          </w:tcPr>
          <w:p w14:paraId="32297A3C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喷射管直径</w:t>
            </w:r>
          </w:p>
        </w:tc>
        <w:tc>
          <w:tcPr>
            <w:tcW w:w="1593" w:type="dxa"/>
            <w:vAlign w:val="center"/>
          </w:tcPr>
          <w:p w14:paraId="6164DDA8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mm</w:t>
            </w:r>
          </w:p>
        </w:tc>
        <w:tc>
          <w:tcPr>
            <w:tcW w:w="2561" w:type="dxa"/>
            <w:vAlign w:val="center"/>
          </w:tcPr>
          <w:p w14:paraId="7451149C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≥50</w:t>
            </w:r>
          </w:p>
        </w:tc>
      </w:tr>
      <w:tr w14:paraId="4A0333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36010202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  <w:tc>
          <w:tcPr>
            <w:tcW w:w="3684" w:type="dxa"/>
            <w:gridSpan w:val="2"/>
            <w:vAlign w:val="center"/>
          </w:tcPr>
          <w:p w14:paraId="52A67941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压缩空气流量</w:t>
            </w:r>
          </w:p>
        </w:tc>
        <w:tc>
          <w:tcPr>
            <w:tcW w:w="1593" w:type="dxa"/>
            <w:vAlign w:val="center"/>
          </w:tcPr>
          <w:p w14:paraId="186198D1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m³/min</w:t>
            </w:r>
          </w:p>
        </w:tc>
        <w:tc>
          <w:tcPr>
            <w:tcW w:w="2561" w:type="dxa"/>
            <w:vAlign w:val="center"/>
          </w:tcPr>
          <w:p w14:paraId="6A96BF52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4～20</w:t>
            </w:r>
          </w:p>
        </w:tc>
      </w:tr>
      <w:tr w14:paraId="0A660E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22F1B17D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</w:t>
            </w:r>
          </w:p>
        </w:tc>
        <w:tc>
          <w:tcPr>
            <w:tcW w:w="3684" w:type="dxa"/>
            <w:gridSpan w:val="2"/>
            <w:vAlign w:val="center"/>
          </w:tcPr>
          <w:p w14:paraId="01F44BC8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压缩空气压力</w:t>
            </w:r>
          </w:p>
        </w:tc>
        <w:tc>
          <w:tcPr>
            <w:tcW w:w="1593" w:type="dxa"/>
            <w:vAlign w:val="center"/>
          </w:tcPr>
          <w:p w14:paraId="5D08F7C4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MPa</w:t>
            </w:r>
          </w:p>
        </w:tc>
        <w:tc>
          <w:tcPr>
            <w:tcW w:w="2561" w:type="dxa"/>
            <w:vAlign w:val="center"/>
          </w:tcPr>
          <w:p w14:paraId="4D8C934B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≥0.5</w:t>
            </w:r>
          </w:p>
        </w:tc>
      </w:tr>
      <w:tr w14:paraId="7C9DAA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072CB652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*6</w:t>
            </w:r>
          </w:p>
        </w:tc>
        <w:tc>
          <w:tcPr>
            <w:tcW w:w="3684" w:type="dxa"/>
            <w:gridSpan w:val="2"/>
            <w:vAlign w:val="center"/>
          </w:tcPr>
          <w:p w14:paraId="3E4320B7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水平喷射距离</w:t>
            </w:r>
          </w:p>
        </w:tc>
        <w:tc>
          <w:tcPr>
            <w:tcW w:w="1593" w:type="dxa"/>
            <w:vAlign w:val="center"/>
          </w:tcPr>
          <w:p w14:paraId="356DD98B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m</w:t>
            </w:r>
          </w:p>
        </w:tc>
        <w:tc>
          <w:tcPr>
            <w:tcW w:w="2561" w:type="dxa"/>
            <w:vAlign w:val="center"/>
          </w:tcPr>
          <w:p w14:paraId="5641D775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b/>
                <w:bCs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≥300</w:t>
            </w:r>
          </w:p>
        </w:tc>
      </w:tr>
      <w:tr w14:paraId="73E9E3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5C659E93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7</w:t>
            </w:r>
          </w:p>
        </w:tc>
        <w:tc>
          <w:tcPr>
            <w:tcW w:w="3684" w:type="dxa"/>
            <w:gridSpan w:val="2"/>
            <w:vAlign w:val="center"/>
          </w:tcPr>
          <w:p w14:paraId="42B4799C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料杯容积</w:t>
            </w:r>
          </w:p>
        </w:tc>
        <w:tc>
          <w:tcPr>
            <w:tcW w:w="1593" w:type="dxa"/>
            <w:vAlign w:val="center"/>
          </w:tcPr>
          <w:p w14:paraId="5A832852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L</w:t>
            </w:r>
          </w:p>
        </w:tc>
        <w:tc>
          <w:tcPr>
            <w:tcW w:w="2561" w:type="dxa"/>
            <w:vAlign w:val="center"/>
          </w:tcPr>
          <w:p w14:paraId="31253CFD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≥8</w:t>
            </w:r>
          </w:p>
        </w:tc>
      </w:tr>
      <w:tr w14:paraId="5B627E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7DAA06B5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8</w:t>
            </w:r>
          </w:p>
        </w:tc>
        <w:tc>
          <w:tcPr>
            <w:tcW w:w="1843" w:type="dxa"/>
            <w:vMerge w:val="restart"/>
            <w:vAlign w:val="center"/>
          </w:tcPr>
          <w:p w14:paraId="6B84797A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电机功率</w:t>
            </w:r>
          </w:p>
        </w:tc>
        <w:tc>
          <w:tcPr>
            <w:tcW w:w="1841" w:type="dxa"/>
            <w:vAlign w:val="center"/>
          </w:tcPr>
          <w:p w14:paraId="40519B56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型号</w:t>
            </w:r>
          </w:p>
        </w:tc>
        <w:tc>
          <w:tcPr>
            <w:tcW w:w="1593" w:type="dxa"/>
            <w:vAlign w:val="center"/>
          </w:tcPr>
          <w:p w14:paraId="1DE5CC7F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61" w:type="dxa"/>
            <w:vAlign w:val="center"/>
          </w:tcPr>
          <w:p w14:paraId="7A554088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YBK3-180L-4</w:t>
            </w:r>
          </w:p>
        </w:tc>
      </w:tr>
      <w:tr w14:paraId="57BC8E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7A6DCF86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*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9</w:t>
            </w:r>
          </w:p>
        </w:tc>
        <w:tc>
          <w:tcPr>
            <w:tcW w:w="1843" w:type="dxa"/>
            <w:vMerge w:val="continue"/>
            <w:vAlign w:val="center"/>
          </w:tcPr>
          <w:p w14:paraId="1A18EE94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841" w:type="dxa"/>
            <w:vAlign w:val="center"/>
          </w:tcPr>
          <w:p w14:paraId="5E9B331F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功率</w:t>
            </w:r>
          </w:p>
        </w:tc>
        <w:tc>
          <w:tcPr>
            <w:tcW w:w="1593" w:type="dxa"/>
            <w:vAlign w:val="center"/>
          </w:tcPr>
          <w:p w14:paraId="5B58A30C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KW</w:t>
            </w:r>
          </w:p>
        </w:tc>
        <w:tc>
          <w:tcPr>
            <w:tcW w:w="2561" w:type="dxa"/>
            <w:vAlign w:val="center"/>
          </w:tcPr>
          <w:p w14:paraId="2B6862E3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hint="default" w:ascii="宋体" w:hAnsi="宋体" w:eastAsia="宋体" w:cs="宋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≥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15</w:t>
            </w:r>
          </w:p>
        </w:tc>
      </w:tr>
      <w:tr w14:paraId="11DE23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2A4383B6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10</w:t>
            </w:r>
          </w:p>
        </w:tc>
        <w:tc>
          <w:tcPr>
            <w:tcW w:w="1843" w:type="dxa"/>
            <w:vMerge w:val="continue"/>
            <w:vAlign w:val="center"/>
          </w:tcPr>
          <w:p w14:paraId="1DDE1DE3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841" w:type="dxa"/>
            <w:vAlign w:val="center"/>
          </w:tcPr>
          <w:p w14:paraId="21859CEA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电压</w:t>
            </w:r>
          </w:p>
        </w:tc>
        <w:tc>
          <w:tcPr>
            <w:tcW w:w="1593" w:type="dxa"/>
            <w:vAlign w:val="center"/>
          </w:tcPr>
          <w:p w14:paraId="338AF4F9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V</w:t>
            </w:r>
          </w:p>
        </w:tc>
        <w:tc>
          <w:tcPr>
            <w:tcW w:w="2561" w:type="dxa"/>
            <w:vAlign w:val="center"/>
          </w:tcPr>
          <w:p w14:paraId="4F366201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660/1140</w:t>
            </w:r>
          </w:p>
        </w:tc>
      </w:tr>
      <w:tr w14:paraId="2F3F07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2983F3F8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11</w:t>
            </w:r>
          </w:p>
        </w:tc>
        <w:tc>
          <w:tcPr>
            <w:tcW w:w="1843" w:type="dxa"/>
            <w:vMerge w:val="continue"/>
            <w:vAlign w:val="center"/>
          </w:tcPr>
          <w:p w14:paraId="59A0567D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841" w:type="dxa"/>
            <w:vAlign w:val="center"/>
          </w:tcPr>
          <w:p w14:paraId="783BF0E3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防护等级</w:t>
            </w:r>
          </w:p>
        </w:tc>
        <w:tc>
          <w:tcPr>
            <w:tcW w:w="1593" w:type="dxa"/>
            <w:vAlign w:val="center"/>
          </w:tcPr>
          <w:p w14:paraId="546B0E52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61" w:type="dxa"/>
            <w:vAlign w:val="center"/>
          </w:tcPr>
          <w:p w14:paraId="6D0C4C16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IP55</w:t>
            </w:r>
          </w:p>
        </w:tc>
      </w:tr>
      <w:tr w14:paraId="1AEAA2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070044D8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12</w:t>
            </w:r>
          </w:p>
        </w:tc>
        <w:tc>
          <w:tcPr>
            <w:tcW w:w="3684" w:type="dxa"/>
            <w:gridSpan w:val="2"/>
            <w:vAlign w:val="center"/>
          </w:tcPr>
          <w:p w14:paraId="0236FEBC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变量柱塞泵</w:t>
            </w:r>
          </w:p>
        </w:tc>
        <w:tc>
          <w:tcPr>
            <w:tcW w:w="1593" w:type="dxa"/>
            <w:vAlign w:val="center"/>
          </w:tcPr>
          <w:p w14:paraId="54F6C985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Ml/r</w:t>
            </w:r>
          </w:p>
        </w:tc>
        <w:tc>
          <w:tcPr>
            <w:tcW w:w="2561" w:type="dxa"/>
            <w:vAlign w:val="center"/>
          </w:tcPr>
          <w:p w14:paraId="4EC7A601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≥40</w:t>
            </w:r>
          </w:p>
        </w:tc>
      </w:tr>
      <w:tr w14:paraId="4417E0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662F15F2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13</w:t>
            </w:r>
          </w:p>
        </w:tc>
        <w:tc>
          <w:tcPr>
            <w:tcW w:w="3684" w:type="dxa"/>
            <w:gridSpan w:val="2"/>
            <w:vAlign w:val="center"/>
          </w:tcPr>
          <w:p w14:paraId="601FF978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爬坡角度</w:t>
            </w:r>
          </w:p>
        </w:tc>
        <w:tc>
          <w:tcPr>
            <w:tcW w:w="1593" w:type="dxa"/>
            <w:vAlign w:val="center"/>
          </w:tcPr>
          <w:p w14:paraId="2B50926F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°</w:t>
            </w:r>
          </w:p>
        </w:tc>
        <w:tc>
          <w:tcPr>
            <w:tcW w:w="2561" w:type="dxa"/>
            <w:vAlign w:val="center"/>
          </w:tcPr>
          <w:p w14:paraId="1BBC9983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</w:rPr>
              <w:t>≥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18</w:t>
            </w:r>
          </w:p>
        </w:tc>
      </w:tr>
      <w:tr w14:paraId="646583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79" w:type="dxa"/>
            <w:vAlign w:val="center"/>
          </w:tcPr>
          <w:p w14:paraId="0E2BFB51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14</w:t>
            </w:r>
          </w:p>
        </w:tc>
        <w:tc>
          <w:tcPr>
            <w:tcW w:w="3684" w:type="dxa"/>
            <w:gridSpan w:val="2"/>
            <w:vAlign w:val="center"/>
          </w:tcPr>
          <w:p w14:paraId="55207D4B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整体外形尺寸（长×宽×高）</w:t>
            </w:r>
          </w:p>
        </w:tc>
        <w:tc>
          <w:tcPr>
            <w:tcW w:w="4154" w:type="dxa"/>
            <w:gridSpan w:val="2"/>
            <w:vAlign w:val="center"/>
          </w:tcPr>
          <w:p w14:paraId="4E80C939">
            <w:pPr>
              <w:keepNext w:val="0"/>
              <w:keepLines w:val="0"/>
              <w:pageBreakBefore w:val="0"/>
              <w:widowControl w:val="0"/>
              <w:wordWrap w:val="0"/>
              <w:topLinePunct w:val="0"/>
              <w:autoSpaceDN/>
              <w:bidi w:val="0"/>
              <w:snapToGrid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≤3200×1200×1700mm</w:t>
            </w:r>
          </w:p>
        </w:tc>
      </w:tr>
    </w:tbl>
    <w:p w14:paraId="640AA1E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30" w:firstLineChars="196"/>
        <w:textAlignment w:val="baseline"/>
        <w:rPr>
          <w:rFonts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主要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技术要求</w:t>
      </w:r>
    </w:p>
    <w:p w14:paraId="680DACF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ascii="仿宋_GB2312" w:eastAsia="仿宋_GB2312" w:cs="黑体"/>
          <w:sz w:val="32"/>
        </w:rPr>
      </w:pPr>
      <w:r>
        <w:rPr>
          <w:rFonts w:hint="eastAsia" w:ascii="仿宋_GB2312" w:eastAsia="仿宋_GB2312" w:cs="黑体"/>
          <w:sz w:val="32"/>
        </w:rPr>
        <w:t xml:space="preserve">    1.在压缩空气具备一定的压力和流量下喷射距离可以达到300m以上，输出量达到3</w:t>
      </w:r>
      <w:r>
        <w:rPr>
          <w:rFonts w:hint="eastAsia" w:ascii="仿宋_GB2312" w:hAnsi="宋体" w:eastAsia="仿宋_GB2312" w:cs="宋体"/>
          <w:sz w:val="32"/>
          <w:szCs w:val="32"/>
        </w:rPr>
        <w:t>m</w:t>
      </w:r>
      <w:r>
        <w:rPr>
          <w:rFonts w:hint="eastAsia" w:ascii="仿宋_GB2312" w:hAnsi="宋体" w:cs="宋体"/>
          <w:sz w:val="32"/>
          <w:szCs w:val="32"/>
        </w:rPr>
        <w:t>³</w:t>
      </w:r>
      <w:r>
        <w:rPr>
          <w:rFonts w:hint="eastAsia" w:ascii="仿宋_GB2312" w:eastAsia="仿宋_GB2312" w:cs="黑体"/>
          <w:sz w:val="32"/>
        </w:rPr>
        <w:t>/h以上。</w:t>
      </w:r>
      <w:bookmarkStart w:id="0" w:name="_GoBack"/>
      <w:bookmarkEnd w:id="0"/>
    </w:p>
    <w:p w14:paraId="66F2E4B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ascii="仿宋_GB2312" w:eastAsia="仿宋_GB2312" w:cs="黑体"/>
          <w:sz w:val="32"/>
        </w:rPr>
      </w:pPr>
      <w:r>
        <w:rPr>
          <w:rFonts w:hint="eastAsia" w:ascii="仿宋_GB2312" w:eastAsia="仿宋_GB2312" w:cs="黑体"/>
          <w:sz w:val="32"/>
        </w:rPr>
        <w:t xml:space="preserve">    2.具有特殊设计的密封结构，喷浆机运转基本不产生粉尘，配备除尘装置，在易损件寿命范围内机旁粉尘浓度≤10mg/</w:t>
      </w:r>
      <w:r>
        <w:rPr>
          <w:rFonts w:hint="eastAsia" w:ascii="仿宋_GB2312" w:hAnsi="宋体" w:eastAsia="仿宋_GB2312" w:cs="宋体"/>
          <w:sz w:val="32"/>
          <w:szCs w:val="32"/>
        </w:rPr>
        <w:t>m</w:t>
      </w:r>
      <w:r>
        <w:rPr>
          <w:rFonts w:hint="eastAsia" w:ascii="仿宋_GB2312" w:hAnsi="宋体" w:cs="宋体"/>
          <w:sz w:val="32"/>
          <w:szCs w:val="32"/>
        </w:rPr>
        <w:t>³</w:t>
      </w:r>
      <w:r>
        <w:rPr>
          <w:rFonts w:hint="eastAsia" w:ascii="仿宋_GB2312" w:eastAsia="仿宋_GB2312" w:cs="黑体"/>
          <w:sz w:val="32"/>
        </w:rPr>
        <w:t>。</w:t>
      </w:r>
    </w:p>
    <w:p w14:paraId="5238DE2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ascii="仿宋_GB2312" w:eastAsia="仿宋_GB2312" w:cs="黑体"/>
          <w:sz w:val="32"/>
        </w:rPr>
      </w:pPr>
      <w:r>
        <w:rPr>
          <w:rFonts w:hint="eastAsia" w:ascii="仿宋_GB2312" w:eastAsia="仿宋_GB2312" w:cs="黑体"/>
          <w:sz w:val="32"/>
        </w:rPr>
        <w:t xml:space="preserve">    3.有多料杯喷射喂料结构，喷浆料在管路输送非常均匀，枪头喷浆料几乎无脉冲对于喷浆手劳动强度大幅降低。</w:t>
      </w:r>
    </w:p>
    <w:p w14:paraId="0D3FE8A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ascii="仿宋_GB2312" w:eastAsia="仿宋_GB2312" w:cs="黑体"/>
          <w:sz w:val="32"/>
        </w:rPr>
      </w:pPr>
      <w:r>
        <w:rPr>
          <w:rFonts w:hint="eastAsia" w:ascii="仿宋_GB2312" w:eastAsia="仿宋_GB2312" w:cs="黑体"/>
          <w:sz w:val="32"/>
        </w:rPr>
        <w:t xml:space="preserve">    4.配有调速装置，出料可以实现快慢可调。</w:t>
      </w:r>
    </w:p>
    <w:p w14:paraId="66952A0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ascii="仿宋_GB2312" w:eastAsia="仿宋_GB2312" w:cs="黑体"/>
          <w:sz w:val="32"/>
        </w:rPr>
      </w:pPr>
      <w:r>
        <w:rPr>
          <w:rFonts w:hint="eastAsia" w:ascii="仿宋_GB2312" w:eastAsia="仿宋_GB2312" w:cs="黑体"/>
          <w:sz w:val="32"/>
        </w:rPr>
        <w:t xml:space="preserve">    </w:t>
      </w:r>
      <w:r>
        <w:rPr>
          <w:rFonts w:hint="eastAsia" w:ascii="仿宋_GB2312" w:eastAsia="仿宋_GB2312" w:cs="黑体"/>
          <w:sz w:val="32"/>
          <w:lang w:val="en-US" w:eastAsia="zh-CN"/>
        </w:rPr>
        <w:t>*</w:t>
      </w:r>
      <w:r>
        <w:rPr>
          <w:rFonts w:hint="eastAsia" w:ascii="仿宋_GB2312" w:eastAsia="仿宋_GB2312" w:cs="黑体"/>
          <w:sz w:val="32"/>
        </w:rPr>
        <w:t>5.整机采用液压驱动、履带行走方式，履带板为高锰合金钢，爬坡能力≥</w:t>
      </w:r>
      <w:r>
        <w:rPr>
          <w:rFonts w:hint="eastAsia" w:ascii="仿宋_GB2312" w:eastAsia="仿宋_GB2312" w:cs="黑体"/>
          <w:sz w:val="32"/>
          <w:lang w:val="en-US" w:eastAsia="zh-CN"/>
        </w:rPr>
        <w:t>18</w:t>
      </w:r>
      <w:r>
        <w:rPr>
          <w:rFonts w:hint="eastAsia" w:ascii="仿宋_GB2312" w:eastAsia="仿宋_GB2312" w:cs="黑体"/>
          <w:sz w:val="32"/>
        </w:rPr>
        <w:t>°。</w:t>
      </w:r>
    </w:p>
    <w:p w14:paraId="6627B0B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ascii="仿宋_GB2312" w:eastAsia="仿宋_GB2312" w:cs="黑体"/>
          <w:sz w:val="32"/>
        </w:rPr>
      </w:pPr>
      <w:r>
        <w:rPr>
          <w:rFonts w:hint="eastAsia" w:ascii="仿宋_GB2312" w:eastAsia="仿宋_GB2312" w:cs="黑体"/>
          <w:sz w:val="32"/>
        </w:rPr>
        <w:t xml:space="preserve">    6.主要易损件使用寿命≥300</w:t>
      </w:r>
      <w:r>
        <w:rPr>
          <w:rFonts w:hint="eastAsia" w:ascii="仿宋_GB2312" w:hAnsi="宋体" w:eastAsia="仿宋_GB2312" w:cs="宋体"/>
          <w:sz w:val="32"/>
          <w:szCs w:val="32"/>
        </w:rPr>
        <w:t xml:space="preserve"> m</w:t>
      </w:r>
      <w:r>
        <w:rPr>
          <w:rFonts w:hint="eastAsia" w:ascii="仿宋_GB2312" w:hAnsi="宋体" w:cs="宋体"/>
          <w:sz w:val="32"/>
          <w:szCs w:val="32"/>
        </w:rPr>
        <w:t>³</w:t>
      </w:r>
      <w:r>
        <w:rPr>
          <w:rFonts w:hint="eastAsia" w:ascii="仿宋_GB2312" w:eastAsia="仿宋_GB2312" w:cs="黑体"/>
          <w:sz w:val="32"/>
        </w:rPr>
        <w:t>。</w:t>
      </w:r>
    </w:p>
    <w:p w14:paraId="0274BEE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ascii="仿宋_GB2312" w:eastAsia="仿宋_GB2312" w:cs="黑体"/>
          <w:sz w:val="32"/>
        </w:rPr>
      </w:pPr>
      <w:r>
        <w:rPr>
          <w:rFonts w:hint="eastAsia" w:ascii="仿宋_GB2312" w:eastAsia="仿宋_GB2312" w:cs="黑体"/>
          <w:sz w:val="32"/>
        </w:rPr>
        <w:t xml:space="preserve">    7.配套电机采用高效节能防爆电机，禁止使用国家淘汰名录所列产品，电压等级：660/1140V。</w:t>
      </w:r>
    </w:p>
    <w:p w14:paraId="59C2D07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eastAsia="仿宋_GB2312" w:cs="黑体"/>
          <w:sz w:val="32"/>
        </w:rPr>
      </w:pPr>
      <w:r>
        <w:rPr>
          <w:rFonts w:hint="eastAsia" w:ascii="仿宋_GB2312" w:eastAsia="仿宋_GB2312" w:cs="黑体"/>
          <w:sz w:val="32"/>
        </w:rPr>
        <w:t>8.主要部件材质选择：</w:t>
      </w:r>
      <w:r>
        <w:rPr>
          <w:rFonts w:hint="eastAsia" w:ascii="仿宋_GB2312" w:eastAsia="仿宋_GB2312" w:cs="黑体"/>
          <w:sz w:val="32"/>
          <w:lang w:val="en-US" w:eastAsia="zh-CN"/>
        </w:rPr>
        <w:t>液压泵及马达选用</w:t>
      </w:r>
      <w:r>
        <w:rPr>
          <w:rFonts w:hint="eastAsia" w:ascii="仿宋_GB2312" w:eastAsia="仿宋_GB2312" w:cs="黑体"/>
          <w:sz w:val="32"/>
        </w:rPr>
        <w:t>选用力士乐、英特姆、丹佛斯或同等质量品牌，钢材选用高强度耐磨优质钢材。</w:t>
      </w:r>
    </w:p>
    <w:p w14:paraId="39292DB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eastAsia="仿宋_GB2312" w:cs="黑体"/>
          <w:sz w:val="32"/>
          <w:lang w:val="en-US" w:eastAsia="zh-CN"/>
        </w:rPr>
      </w:pPr>
      <w:r>
        <w:rPr>
          <w:rFonts w:hint="eastAsia" w:ascii="仿宋_GB2312" w:eastAsia="仿宋_GB2312" w:cs="黑体"/>
          <w:sz w:val="32"/>
          <w:lang w:val="en-US" w:eastAsia="zh-CN"/>
        </w:rPr>
        <w:t>9.</w:t>
      </w:r>
      <w:r>
        <w:rPr>
          <w:rFonts w:hint="eastAsia" w:ascii="仿宋_GB2312" w:eastAsia="仿宋_GB2312" w:cs="黑体"/>
          <w:sz w:val="32"/>
        </w:rPr>
        <w:t>每台设备应</w:t>
      </w:r>
      <w:r>
        <w:rPr>
          <w:rFonts w:hint="eastAsia" w:ascii="仿宋_GB2312" w:eastAsia="仿宋_GB2312" w:cs="黑体"/>
          <w:sz w:val="32"/>
          <w:lang w:val="en-US" w:eastAsia="zh-CN"/>
        </w:rPr>
        <w:t>配置</w:t>
      </w:r>
      <w:r>
        <w:rPr>
          <w:rFonts w:hint="eastAsia" w:ascii="仿宋_GB2312" w:eastAsia="仿宋_GB2312" w:cs="黑体"/>
          <w:sz w:val="32"/>
        </w:rPr>
        <w:t>定子或整套耐磨板2套</w:t>
      </w:r>
      <w:r>
        <w:rPr>
          <w:rFonts w:hint="eastAsia" w:ascii="仿宋_GB2312" w:eastAsia="仿宋_GB2312" w:cs="黑体"/>
          <w:sz w:val="32"/>
          <w:lang w:eastAsia="zh-CN"/>
        </w:rPr>
        <w:t>。</w:t>
      </w:r>
    </w:p>
    <w:p w14:paraId="212EC2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黑体"/>
          <w:color w:val="auto"/>
          <w:sz w:val="32"/>
          <w:szCs w:val="32"/>
          <w:vertAlign w:val="baseline"/>
        </w:rPr>
      </w:pPr>
      <w:r>
        <w:rPr>
          <w:rFonts w:hint="eastAsia" w:ascii="黑体" w:hAnsi="黑体" w:eastAsia="黑体" w:cs="黑体"/>
          <w:sz w:val="32"/>
          <w:lang w:val="en-US" w:eastAsia="zh-CN"/>
        </w:rPr>
        <w:t>四、</w:t>
      </w:r>
      <w:r>
        <w:rPr>
          <w:rFonts w:hint="eastAsia" w:ascii="黑体" w:hAnsi="Times New Roman" w:eastAsia="黑体" w:cs="Times New Roman"/>
          <w:color w:val="auto"/>
          <w:sz w:val="32"/>
          <w:szCs w:val="32"/>
          <w:lang w:val="en-US" w:eastAsia="zh-CN"/>
        </w:rPr>
        <w:t>大部件及易损件明细（部分）</w:t>
      </w:r>
    </w:p>
    <w:tbl>
      <w:tblPr>
        <w:tblStyle w:val="16"/>
        <w:tblW w:w="0" w:type="auto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2800"/>
        <w:gridCol w:w="1775"/>
        <w:gridCol w:w="1925"/>
        <w:gridCol w:w="1812"/>
      </w:tblGrid>
      <w:tr w14:paraId="5CD26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" w:type="dxa"/>
            <w:noWrap w:val="0"/>
            <w:vAlign w:val="top"/>
          </w:tcPr>
          <w:p w14:paraId="0E691250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2800" w:type="dxa"/>
            <w:noWrap w:val="0"/>
            <w:vAlign w:val="top"/>
          </w:tcPr>
          <w:p w14:paraId="7A2A98EB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大部件名称</w:t>
            </w:r>
          </w:p>
        </w:tc>
        <w:tc>
          <w:tcPr>
            <w:tcW w:w="1775" w:type="dxa"/>
            <w:noWrap w:val="0"/>
            <w:vAlign w:val="top"/>
          </w:tcPr>
          <w:p w14:paraId="4433F75E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1925" w:type="dxa"/>
            <w:noWrap w:val="0"/>
            <w:vAlign w:val="top"/>
          </w:tcPr>
          <w:p w14:paraId="4E28372E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  <w:tc>
          <w:tcPr>
            <w:tcW w:w="1812" w:type="dxa"/>
            <w:noWrap w:val="0"/>
            <w:vAlign w:val="top"/>
          </w:tcPr>
          <w:p w14:paraId="4C1EA22E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 w14:paraId="7B173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" w:type="dxa"/>
            <w:noWrap w:val="0"/>
            <w:vAlign w:val="top"/>
          </w:tcPr>
          <w:p w14:paraId="143C5B32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800" w:type="dxa"/>
            <w:noWrap w:val="0"/>
            <w:vAlign w:val="top"/>
          </w:tcPr>
          <w:p w14:paraId="765CB9AB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电机</w:t>
            </w:r>
          </w:p>
        </w:tc>
        <w:tc>
          <w:tcPr>
            <w:tcW w:w="1775" w:type="dxa"/>
            <w:noWrap w:val="0"/>
            <w:vAlign w:val="top"/>
          </w:tcPr>
          <w:p w14:paraId="2A052C04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台</w:t>
            </w:r>
          </w:p>
        </w:tc>
        <w:tc>
          <w:tcPr>
            <w:tcW w:w="1925" w:type="dxa"/>
            <w:noWrap w:val="0"/>
            <w:vAlign w:val="top"/>
          </w:tcPr>
          <w:p w14:paraId="20FEC9EC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812" w:type="dxa"/>
            <w:noWrap w:val="0"/>
            <w:vAlign w:val="top"/>
          </w:tcPr>
          <w:p w14:paraId="1F57922F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C00B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" w:type="dxa"/>
            <w:noWrap w:val="0"/>
            <w:vAlign w:val="top"/>
          </w:tcPr>
          <w:p w14:paraId="397114B3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2800" w:type="dxa"/>
            <w:noWrap w:val="0"/>
            <w:vAlign w:val="top"/>
          </w:tcPr>
          <w:p w14:paraId="5E567A1D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液压马达</w:t>
            </w:r>
          </w:p>
        </w:tc>
        <w:tc>
          <w:tcPr>
            <w:tcW w:w="1775" w:type="dxa"/>
            <w:noWrap w:val="0"/>
            <w:vAlign w:val="top"/>
          </w:tcPr>
          <w:p w14:paraId="77E40F50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台</w:t>
            </w:r>
          </w:p>
        </w:tc>
        <w:tc>
          <w:tcPr>
            <w:tcW w:w="1925" w:type="dxa"/>
            <w:noWrap w:val="0"/>
            <w:vAlign w:val="top"/>
          </w:tcPr>
          <w:p w14:paraId="6A411CCA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812" w:type="dxa"/>
            <w:noWrap w:val="0"/>
            <w:vAlign w:val="top"/>
          </w:tcPr>
          <w:p w14:paraId="6EE1A790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A67A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" w:type="dxa"/>
            <w:noWrap w:val="0"/>
            <w:vAlign w:val="top"/>
          </w:tcPr>
          <w:p w14:paraId="7423E0DC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2800" w:type="dxa"/>
            <w:noWrap w:val="0"/>
            <w:vAlign w:val="top"/>
          </w:tcPr>
          <w:p w14:paraId="66A61C28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变量柱塞泵</w:t>
            </w:r>
          </w:p>
        </w:tc>
        <w:tc>
          <w:tcPr>
            <w:tcW w:w="1775" w:type="dxa"/>
            <w:noWrap w:val="0"/>
            <w:vAlign w:val="top"/>
          </w:tcPr>
          <w:p w14:paraId="21907890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件</w:t>
            </w:r>
          </w:p>
        </w:tc>
        <w:tc>
          <w:tcPr>
            <w:tcW w:w="1925" w:type="dxa"/>
            <w:noWrap w:val="0"/>
            <w:vAlign w:val="top"/>
          </w:tcPr>
          <w:p w14:paraId="32FF40EE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812" w:type="dxa"/>
            <w:noWrap w:val="0"/>
            <w:vAlign w:val="top"/>
          </w:tcPr>
          <w:p w14:paraId="060030D0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AAFC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" w:type="dxa"/>
            <w:noWrap w:val="0"/>
            <w:vAlign w:val="top"/>
          </w:tcPr>
          <w:p w14:paraId="044955B7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2800" w:type="dxa"/>
            <w:noWrap w:val="0"/>
            <w:vAlign w:val="top"/>
          </w:tcPr>
          <w:p w14:paraId="75EF151A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减速机</w:t>
            </w:r>
          </w:p>
        </w:tc>
        <w:tc>
          <w:tcPr>
            <w:tcW w:w="1775" w:type="dxa"/>
            <w:noWrap w:val="0"/>
            <w:vAlign w:val="top"/>
          </w:tcPr>
          <w:p w14:paraId="759FB19E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台</w:t>
            </w:r>
          </w:p>
        </w:tc>
        <w:tc>
          <w:tcPr>
            <w:tcW w:w="1925" w:type="dxa"/>
            <w:noWrap w:val="0"/>
            <w:vAlign w:val="top"/>
          </w:tcPr>
          <w:p w14:paraId="529D6D2F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812" w:type="dxa"/>
            <w:noWrap w:val="0"/>
            <w:vAlign w:val="top"/>
          </w:tcPr>
          <w:p w14:paraId="1AE9346C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B514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" w:type="dxa"/>
            <w:noWrap w:val="0"/>
            <w:vAlign w:val="top"/>
          </w:tcPr>
          <w:p w14:paraId="1EDFC1DC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2800" w:type="dxa"/>
            <w:noWrap w:val="0"/>
            <w:vAlign w:val="top"/>
          </w:tcPr>
          <w:p w14:paraId="7C7F072E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转子</w:t>
            </w:r>
          </w:p>
        </w:tc>
        <w:tc>
          <w:tcPr>
            <w:tcW w:w="1775" w:type="dxa"/>
            <w:noWrap w:val="0"/>
            <w:vAlign w:val="top"/>
          </w:tcPr>
          <w:p w14:paraId="0FB26829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件</w:t>
            </w:r>
          </w:p>
        </w:tc>
        <w:tc>
          <w:tcPr>
            <w:tcW w:w="1925" w:type="dxa"/>
            <w:noWrap w:val="0"/>
            <w:vAlign w:val="top"/>
          </w:tcPr>
          <w:p w14:paraId="4ED47175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812" w:type="dxa"/>
            <w:noWrap w:val="0"/>
            <w:vAlign w:val="top"/>
          </w:tcPr>
          <w:p w14:paraId="271572A8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391A2D7E"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Times New Roman" w:eastAsia="黑体" w:cs="Times New Roman"/>
          <w:color w:val="auto"/>
          <w:sz w:val="32"/>
          <w:szCs w:val="32"/>
          <w:lang w:val="en-US" w:eastAsia="zh-CN"/>
        </w:rPr>
      </w:pPr>
    </w:p>
    <w:tbl>
      <w:tblPr>
        <w:tblStyle w:val="16"/>
        <w:tblW w:w="0" w:type="auto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2812"/>
        <w:gridCol w:w="1763"/>
        <w:gridCol w:w="1937"/>
        <w:gridCol w:w="1813"/>
      </w:tblGrid>
      <w:tr w14:paraId="676FF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" w:type="dxa"/>
            <w:noWrap w:val="0"/>
            <w:vAlign w:val="top"/>
          </w:tcPr>
          <w:p w14:paraId="04FF38A1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2812" w:type="dxa"/>
            <w:noWrap w:val="0"/>
            <w:vAlign w:val="top"/>
          </w:tcPr>
          <w:p w14:paraId="0EA6754C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易损件名称</w:t>
            </w:r>
          </w:p>
        </w:tc>
        <w:tc>
          <w:tcPr>
            <w:tcW w:w="1763" w:type="dxa"/>
            <w:noWrap w:val="0"/>
            <w:vAlign w:val="top"/>
          </w:tcPr>
          <w:p w14:paraId="5EE7BA3E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1937" w:type="dxa"/>
            <w:noWrap w:val="0"/>
            <w:vAlign w:val="top"/>
          </w:tcPr>
          <w:p w14:paraId="168919FA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  <w:tc>
          <w:tcPr>
            <w:tcW w:w="1813" w:type="dxa"/>
            <w:noWrap w:val="0"/>
            <w:vAlign w:val="top"/>
          </w:tcPr>
          <w:p w14:paraId="6977888B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 w14:paraId="093E3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" w:type="dxa"/>
            <w:noWrap w:val="0"/>
            <w:vAlign w:val="center"/>
          </w:tcPr>
          <w:p w14:paraId="55DDF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812" w:type="dxa"/>
            <w:noWrap w:val="0"/>
            <w:vAlign w:val="center"/>
          </w:tcPr>
          <w:p w14:paraId="18692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自润滑耐磨上板</w:t>
            </w:r>
          </w:p>
        </w:tc>
        <w:tc>
          <w:tcPr>
            <w:tcW w:w="1763" w:type="dxa"/>
            <w:noWrap w:val="0"/>
            <w:vAlign w:val="top"/>
          </w:tcPr>
          <w:p w14:paraId="2349B0F0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块</w:t>
            </w:r>
          </w:p>
        </w:tc>
        <w:tc>
          <w:tcPr>
            <w:tcW w:w="1937" w:type="dxa"/>
            <w:noWrap w:val="0"/>
            <w:vAlign w:val="top"/>
          </w:tcPr>
          <w:p w14:paraId="14E72495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813" w:type="dxa"/>
            <w:noWrap w:val="0"/>
            <w:vAlign w:val="top"/>
          </w:tcPr>
          <w:p w14:paraId="406084B9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023C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" w:type="dxa"/>
            <w:noWrap w:val="0"/>
            <w:vAlign w:val="center"/>
          </w:tcPr>
          <w:p w14:paraId="6D241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812" w:type="dxa"/>
            <w:noWrap w:val="0"/>
            <w:vAlign w:val="center"/>
          </w:tcPr>
          <w:p w14:paraId="306FC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自润滑耐磨下板</w:t>
            </w:r>
          </w:p>
        </w:tc>
        <w:tc>
          <w:tcPr>
            <w:tcW w:w="1763" w:type="dxa"/>
            <w:noWrap w:val="0"/>
            <w:vAlign w:val="top"/>
          </w:tcPr>
          <w:p w14:paraId="28B697EC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块</w:t>
            </w:r>
          </w:p>
        </w:tc>
        <w:tc>
          <w:tcPr>
            <w:tcW w:w="1937" w:type="dxa"/>
            <w:noWrap w:val="0"/>
            <w:vAlign w:val="top"/>
          </w:tcPr>
          <w:p w14:paraId="034858A2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813" w:type="dxa"/>
            <w:noWrap w:val="0"/>
            <w:vAlign w:val="top"/>
          </w:tcPr>
          <w:p w14:paraId="41A89CF7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7033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" w:type="dxa"/>
            <w:noWrap w:val="0"/>
            <w:vAlign w:val="center"/>
          </w:tcPr>
          <w:p w14:paraId="61E8E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812" w:type="dxa"/>
            <w:noWrap w:val="0"/>
            <w:vAlign w:val="center"/>
          </w:tcPr>
          <w:p w14:paraId="4EA42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耐磨料杯</w:t>
            </w:r>
          </w:p>
        </w:tc>
        <w:tc>
          <w:tcPr>
            <w:tcW w:w="1763" w:type="dxa"/>
            <w:noWrap w:val="0"/>
            <w:vAlign w:val="top"/>
          </w:tcPr>
          <w:p w14:paraId="4E4FE98F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个</w:t>
            </w:r>
          </w:p>
        </w:tc>
        <w:tc>
          <w:tcPr>
            <w:tcW w:w="1937" w:type="dxa"/>
            <w:noWrap w:val="0"/>
            <w:vAlign w:val="top"/>
          </w:tcPr>
          <w:p w14:paraId="728E12ED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813" w:type="dxa"/>
            <w:noWrap w:val="0"/>
            <w:vAlign w:val="top"/>
          </w:tcPr>
          <w:p w14:paraId="3A05CA86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CE02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" w:type="dxa"/>
            <w:noWrap w:val="0"/>
            <w:vAlign w:val="center"/>
          </w:tcPr>
          <w:p w14:paraId="2DFB1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812" w:type="dxa"/>
            <w:noWrap w:val="0"/>
            <w:vAlign w:val="center"/>
          </w:tcPr>
          <w:p w14:paraId="0DBA0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高强分料器</w:t>
            </w:r>
          </w:p>
        </w:tc>
        <w:tc>
          <w:tcPr>
            <w:tcW w:w="1763" w:type="dxa"/>
            <w:noWrap w:val="0"/>
            <w:vAlign w:val="top"/>
          </w:tcPr>
          <w:p w14:paraId="70CD4123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个</w:t>
            </w:r>
          </w:p>
        </w:tc>
        <w:tc>
          <w:tcPr>
            <w:tcW w:w="1937" w:type="dxa"/>
            <w:noWrap w:val="0"/>
            <w:vAlign w:val="top"/>
          </w:tcPr>
          <w:p w14:paraId="0F66E674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813" w:type="dxa"/>
            <w:noWrap w:val="0"/>
            <w:vAlign w:val="top"/>
          </w:tcPr>
          <w:p w14:paraId="71490A4D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163A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" w:type="dxa"/>
            <w:noWrap w:val="0"/>
            <w:vAlign w:val="center"/>
          </w:tcPr>
          <w:p w14:paraId="1FCBE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812" w:type="dxa"/>
            <w:noWrap w:val="0"/>
            <w:vAlign w:val="center"/>
          </w:tcPr>
          <w:p w14:paraId="7E781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高强耐磨钢衬板</w:t>
            </w:r>
          </w:p>
        </w:tc>
        <w:tc>
          <w:tcPr>
            <w:tcW w:w="1763" w:type="dxa"/>
            <w:noWrap w:val="0"/>
            <w:vAlign w:val="top"/>
          </w:tcPr>
          <w:p w14:paraId="6E7518FF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块</w:t>
            </w:r>
          </w:p>
        </w:tc>
        <w:tc>
          <w:tcPr>
            <w:tcW w:w="1937" w:type="dxa"/>
            <w:noWrap w:val="0"/>
            <w:vAlign w:val="top"/>
          </w:tcPr>
          <w:p w14:paraId="5361E8A0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813" w:type="dxa"/>
            <w:noWrap w:val="0"/>
            <w:vAlign w:val="top"/>
          </w:tcPr>
          <w:p w14:paraId="43C74F06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BE84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" w:type="dxa"/>
            <w:noWrap w:val="0"/>
            <w:vAlign w:val="center"/>
          </w:tcPr>
          <w:p w14:paraId="513A1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812" w:type="dxa"/>
            <w:noWrap w:val="0"/>
            <w:vAlign w:val="center"/>
          </w:tcPr>
          <w:p w14:paraId="34D74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过料网</w:t>
            </w:r>
          </w:p>
        </w:tc>
        <w:tc>
          <w:tcPr>
            <w:tcW w:w="1763" w:type="dxa"/>
            <w:noWrap w:val="0"/>
            <w:vAlign w:val="top"/>
          </w:tcPr>
          <w:p w14:paraId="0DCA5DA6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片</w:t>
            </w:r>
          </w:p>
        </w:tc>
        <w:tc>
          <w:tcPr>
            <w:tcW w:w="1937" w:type="dxa"/>
            <w:noWrap w:val="0"/>
            <w:vAlign w:val="top"/>
          </w:tcPr>
          <w:p w14:paraId="6D6DB407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813" w:type="dxa"/>
            <w:noWrap w:val="0"/>
            <w:vAlign w:val="top"/>
          </w:tcPr>
          <w:p w14:paraId="79358483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D923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" w:type="dxa"/>
            <w:noWrap w:val="0"/>
            <w:vAlign w:val="center"/>
          </w:tcPr>
          <w:p w14:paraId="4947E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812" w:type="dxa"/>
            <w:noWrap w:val="0"/>
            <w:vAlign w:val="center"/>
          </w:tcPr>
          <w:p w14:paraId="4E95D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搅拌器</w:t>
            </w:r>
          </w:p>
        </w:tc>
        <w:tc>
          <w:tcPr>
            <w:tcW w:w="1763" w:type="dxa"/>
            <w:noWrap w:val="0"/>
            <w:vAlign w:val="top"/>
          </w:tcPr>
          <w:p w14:paraId="417121F1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vertAlign w:val="baseline"/>
                <w:lang w:val="en-US" w:eastAsia="zh-CN"/>
              </w:rPr>
              <w:t>件</w:t>
            </w:r>
          </w:p>
        </w:tc>
        <w:tc>
          <w:tcPr>
            <w:tcW w:w="1937" w:type="dxa"/>
            <w:noWrap w:val="0"/>
            <w:vAlign w:val="top"/>
          </w:tcPr>
          <w:p w14:paraId="5F43A19E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813" w:type="dxa"/>
            <w:noWrap w:val="0"/>
            <w:vAlign w:val="top"/>
          </w:tcPr>
          <w:p w14:paraId="0550F14C"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0EA939D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</w:rPr>
        <w:t>、执行标准和规范</w:t>
      </w:r>
    </w:p>
    <w:p w14:paraId="5879C9B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snapToGrid/>
        <w:spacing w:line="560" w:lineRule="exact"/>
        <w:ind w:firstLine="640" w:firstLineChars="200"/>
        <w:textAlignment w:val="auto"/>
        <w:rPr>
          <w:rFonts w:ascii="仿宋_GB2312" w:eastAsia="仿宋_GB2312" w:cs="黑体"/>
          <w:sz w:val="32"/>
        </w:rPr>
      </w:pPr>
      <w:r>
        <w:rPr>
          <w:rFonts w:hint="eastAsia" w:ascii="仿宋_GB2312" w:eastAsia="仿宋_GB2312" w:cs="黑体"/>
          <w:sz w:val="32"/>
        </w:rPr>
        <w:t>《煤矿安全规程》、MT/T547-20</w:t>
      </w:r>
      <w:r>
        <w:rPr>
          <w:rFonts w:hint="eastAsia" w:ascii="仿宋_GB2312" w:eastAsia="仿宋_GB2312" w:cs="黑体"/>
          <w:sz w:val="32"/>
          <w:lang w:val="en-US" w:eastAsia="zh-CN"/>
        </w:rPr>
        <w:t>25</w:t>
      </w:r>
      <w:r>
        <w:rPr>
          <w:rFonts w:hint="eastAsia" w:ascii="仿宋_GB2312" w:eastAsia="仿宋_GB2312" w:cs="黑体"/>
          <w:sz w:val="32"/>
        </w:rPr>
        <w:t>等。</w:t>
      </w:r>
    </w:p>
    <w:p w14:paraId="6B0940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Times New Roman" w:eastAsia="黑体"/>
          <w:color w:val="auto"/>
          <w:sz w:val="32"/>
          <w:szCs w:val="32"/>
          <w:lang w:val="en-US" w:eastAsia="zh-CN"/>
        </w:rPr>
      </w:pPr>
      <w:r>
        <w:rPr>
          <w:rFonts w:hint="eastAsia" w:ascii="黑体" w:eastAsia="黑体"/>
          <w:color w:val="auto"/>
          <w:sz w:val="32"/>
          <w:szCs w:val="32"/>
          <w:lang w:val="en-US" w:eastAsia="zh-CN"/>
        </w:rPr>
        <w:t>六、</w:t>
      </w:r>
      <w:r>
        <w:rPr>
          <w:rFonts w:hint="eastAsia" w:ascii="黑体" w:hAnsi="Times New Roman" w:eastAsia="黑体"/>
          <w:color w:val="auto"/>
          <w:sz w:val="32"/>
          <w:szCs w:val="32"/>
          <w:lang w:val="en-US" w:eastAsia="zh-CN"/>
        </w:rPr>
        <w:t>交货随行文件要求</w:t>
      </w:r>
    </w:p>
    <w:p w14:paraId="10A5B87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 w:cs="黑体"/>
          <w:b w:val="0"/>
          <w:bCs w:val="0"/>
          <w:sz w:val="32"/>
          <w:lang w:eastAsia="zh-CN"/>
        </w:rPr>
      </w:pPr>
      <w:r>
        <w:rPr>
          <w:rFonts w:hint="eastAsia" w:ascii="仿宋_GB2312" w:eastAsia="仿宋_GB2312" w:cs="黑体"/>
          <w:b w:val="0"/>
          <w:bCs w:val="0"/>
          <w:sz w:val="32"/>
          <w:lang w:val="en-US" w:eastAsia="zh-CN"/>
        </w:rPr>
        <w:t>1.</w:t>
      </w:r>
      <w:r>
        <w:rPr>
          <w:rFonts w:hint="eastAsia" w:ascii="仿宋_GB2312" w:hAnsi="宋体" w:eastAsia="仿宋_GB2312"/>
          <w:color w:val="auto"/>
          <w:sz w:val="32"/>
          <w:szCs w:val="32"/>
          <w:lang w:val="en-US" w:eastAsia="zh-CN"/>
        </w:rPr>
        <w:t>交货时</w:t>
      </w:r>
      <w:r>
        <w:rPr>
          <w:rFonts w:hint="eastAsia" w:ascii="仿宋_GB2312" w:hAnsi="Calibri" w:eastAsia="仿宋_GB2312" w:cs="黑体"/>
          <w:b w:val="0"/>
          <w:bCs w:val="0"/>
          <w:sz w:val="32"/>
        </w:rPr>
        <w:t>厂方</w:t>
      </w:r>
      <w:r>
        <w:rPr>
          <w:rFonts w:hint="eastAsia" w:ascii="仿宋_GB2312" w:eastAsia="仿宋_GB2312" w:cs="黑体"/>
          <w:b w:val="0"/>
          <w:bCs w:val="0"/>
          <w:sz w:val="32"/>
          <w:lang w:val="en-US" w:eastAsia="zh-CN"/>
        </w:rPr>
        <w:t>须</w:t>
      </w:r>
      <w:r>
        <w:rPr>
          <w:rFonts w:hint="eastAsia" w:ascii="仿宋_GB2312" w:hAnsi="Calibri" w:eastAsia="仿宋_GB2312" w:cs="黑体"/>
          <w:b w:val="0"/>
          <w:bCs w:val="0"/>
          <w:sz w:val="32"/>
        </w:rPr>
        <w:t>提供设备出厂检验报告、主要部件检测试验报告、电气防爆合格证、矿用产品安全标志证书等</w:t>
      </w:r>
      <w:r>
        <w:rPr>
          <w:rFonts w:hint="eastAsia" w:ascii="仿宋_GB2312" w:eastAsia="仿宋_GB2312" w:cs="黑体"/>
          <w:b w:val="0"/>
          <w:bCs w:val="0"/>
          <w:sz w:val="32"/>
          <w:lang w:eastAsia="zh-CN"/>
        </w:rPr>
        <w:t>。</w:t>
      </w:r>
    </w:p>
    <w:p w14:paraId="00A23C6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snapToGrid/>
        <w:spacing w:line="560" w:lineRule="exact"/>
        <w:ind w:firstLine="640" w:firstLineChars="200"/>
        <w:textAlignment w:val="auto"/>
        <w:rPr>
          <w:rFonts w:hint="eastAsia" w:ascii="黑体" w:hAnsi="Times New Roman" w:eastAsia="黑体"/>
          <w:color w:val="auto"/>
          <w:sz w:val="32"/>
          <w:szCs w:val="32"/>
          <w:lang w:val="en-US" w:eastAsia="zh-CN"/>
        </w:rPr>
      </w:pPr>
      <w:r>
        <w:rPr>
          <w:rFonts w:hint="eastAsia" w:ascii="仿宋_GB2312" w:eastAsia="仿宋_GB2312" w:cs="黑体"/>
          <w:sz w:val="32"/>
          <w:lang w:val="en-US" w:eastAsia="zh-CN"/>
        </w:rPr>
        <w:t>2</w:t>
      </w:r>
      <w:r>
        <w:rPr>
          <w:rFonts w:hint="eastAsia" w:ascii="仿宋_GB2312" w:eastAsia="仿宋_GB2312" w:cs="黑体"/>
          <w:sz w:val="32"/>
        </w:rPr>
        <w:t>.每台设备</w:t>
      </w:r>
      <w:r>
        <w:rPr>
          <w:rFonts w:hint="eastAsia" w:ascii="仿宋_GB2312" w:eastAsia="仿宋_GB2312" w:cs="黑体"/>
          <w:sz w:val="32"/>
          <w:lang w:val="en-US" w:eastAsia="zh-CN"/>
        </w:rPr>
        <w:t>厂方无偿提供</w:t>
      </w:r>
      <w:r>
        <w:rPr>
          <w:rFonts w:hint="eastAsia" w:ascii="仿宋_GB2312" w:eastAsia="仿宋_GB2312" w:cs="黑体"/>
          <w:sz w:val="32"/>
        </w:rPr>
        <w:t>应</w:t>
      </w:r>
      <w:r>
        <w:rPr>
          <w:rFonts w:hint="eastAsia" w:ascii="仿宋_GB2312" w:eastAsia="仿宋_GB2312" w:cs="黑体"/>
          <w:sz w:val="32"/>
          <w:lang w:val="en-US" w:eastAsia="zh-CN"/>
        </w:rPr>
        <w:t>免费配备</w:t>
      </w:r>
      <w:r>
        <w:rPr>
          <w:rFonts w:hint="eastAsia" w:ascii="仿宋_GB2312" w:eastAsia="仿宋_GB2312" w:cs="黑体"/>
          <w:sz w:val="32"/>
        </w:rPr>
        <w:t>专用工具2套、图纸资料6套，资料必须与实物相符，图纸上要标注大部件的重量及外形尺寸。</w:t>
      </w:r>
      <w:r>
        <w:rPr>
          <w:rFonts w:hint="eastAsia" w:ascii="仿宋_GB2312" w:hAnsi="Calibri" w:eastAsia="仿宋_GB2312" w:cs="黑体"/>
          <w:b w:val="0"/>
          <w:bCs w:val="0"/>
          <w:color w:val="auto"/>
          <w:sz w:val="32"/>
          <w:szCs w:val="24"/>
        </w:rPr>
        <w:t>在用设备的零部件作变更设计或修改参数时，要及时通知使用单位和集团公司相关管理部门。</w:t>
      </w:r>
    </w:p>
    <w:p w14:paraId="1AF4A88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snapToGrid/>
        <w:spacing w:line="560" w:lineRule="exact"/>
        <w:ind w:firstLine="640" w:firstLineChars="200"/>
        <w:textAlignment w:val="auto"/>
        <w:rPr>
          <w:rFonts w:ascii="黑体" w:eastAsia="黑体"/>
          <w:sz w:val="32"/>
          <w:szCs w:val="32"/>
          <w:lang w:val="zh-CN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t>七</w:t>
      </w:r>
      <w:r>
        <w:rPr>
          <w:rFonts w:hint="eastAsia" w:ascii="黑体" w:eastAsia="黑体"/>
          <w:sz w:val="32"/>
          <w:szCs w:val="32"/>
          <w:lang w:val="zh-CN"/>
        </w:rPr>
        <w:t>、</w:t>
      </w:r>
      <w:r>
        <w:rPr>
          <w:rFonts w:hint="eastAsia" w:ascii="黑体" w:eastAsia="黑体"/>
          <w:sz w:val="32"/>
          <w:szCs w:val="32"/>
          <w:lang w:val="en-US" w:eastAsia="zh-CN"/>
        </w:rPr>
        <w:t>质量保证</w:t>
      </w:r>
      <w:r>
        <w:rPr>
          <w:rFonts w:hint="eastAsia" w:ascii="黑体" w:eastAsia="黑体"/>
          <w:sz w:val="32"/>
          <w:szCs w:val="32"/>
        </w:rPr>
        <w:t>要求</w:t>
      </w:r>
    </w:p>
    <w:p w14:paraId="2F8ED3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zh-CN"/>
        </w:rPr>
      </w:pP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</w:rPr>
        <w:t>.</w:t>
      </w: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zh-CN"/>
        </w:rPr>
        <w:t>设备自</w:t>
      </w: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en-US" w:eastAsia="zh-CN"/>
        </w:rPr>
        <w:t>到货</w:t>
      </w: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zh-CN"/>
        </w:rPr>
        <w:t>之日起18 个月</w:t>
      </w: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en-US" w:eastAsia="zh-CN"/>
        </w:rPr>
        <w:t>或</w:t>
      </w: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zh-CN"/>
        </w:rPr>
        <w:t>投入使用后 12 个月，两项期限以先届满者为准，在此期限内若设备出现质量问题，由厂方负责无偿维修，维修产生的材料及配件费用均由厂方承担；若发生重大质量问题，买方有权将该设备退回厂方。</w:t>
      </w:r>
    </w:p>
    <w:p w14:paraId="3D0B40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zh-CN"/>
        </w:rPr>
      </w:pP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</w:rPr>
        <w:t>.</w:t>
      </w:r>
      <w:r>
        <w:rPr>
          <w:rFonts w:hint="eastAsia" w:ascii="仿宋_GB2312" w:hAnsi="Calibri" w:eastAsia="仿宋_GB2312" w:cs="黑体"/>
          <w:color w:val="auto"/>
          <w:sz w:val="32"/>
        </w:rPr>
        <w:t>因质量问题发生安全事故（如电气失爆），由厂方赔偿直接和间接经济损失，并追究法律责任。</w:t>
      </w:r>
    </w:p>
    <w:p w14:paraId="417D47A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zh-CN"/>
        </w:rPr>
      </w:pP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</w:rPr>
        <w:t>.</w:t>
      </w: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en-US" w:eastAsia="zh-CN"/>
        </w:rPr>
        <w:t>因</w:t>
      </w: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zh-CN"/>
        </w:rPr>
        <w:t>厂方</w:t>
      </w: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en-US" w:eastAsia="zh-CN"/>
        </w:rPr>
        <w:t>原因</w:t>
      </w:r>
      <w:r>
        <w:rPr>
          <w:rFonts w:hint="eastAsia" w:ascii="仿宋_GB2312" w:hAnsi="Helvetica" w:eastAsia="仿宋_GB2312" w:cs="Helvetica"/>
          <w:color w:val="auto"/>
          <w:kern w:val="0"/>
          <w:sz w:val="32"/>
          <w:szCs w:val="32"/>
          <w:lang w:val="zh-CN"/>
        </w:rPr>
        <w:t>备品备件供应及售后服务不及时影响矿井生产，由厂方赔偿直接和间接经济损失。</w:t>
      </w:r>
    </w:p>
    <w:p w14:paraId="24C69FB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/>
        <w:bidi w:val="0"/>
        <w:adjustRightInd w:val="0"/>
        <w:snapToGrid/>
        <w:spacing w:line="560" w:lineRule="exact"/>
        <w:ind w:firstLine="640" w:firstLineChars="200"/>
        <w:textAlignment w:val="auto"/>
        <w:rPr>
          <w:rFonts w:hint="eastAsia" w:ascii="仿宋" w:hAnsi="仿宋" w:eastAsia="黑体"/>
          <w:sz w:val="28"/>
          <w:szCs w:val="28"/>
          <w:lang w:val="en-US" w:eastAsia="zh-CN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t>八</w:t>
      </w:r>
      <w:r>
        <w:rPr>
          <w:rFonts w:hint="eastAsia" w:ascii="黑体" w:eastAsia="黑体"/>
          <w:sz w:val="32"/>
          <w:szCs w:val="32"/>
        </w:rPr>
        <w:t>、售后服务</w:t>
      </w:r>
      <w:r>
        <w:rPr>
          <w:rFonts w:hint="eastAsia" w:ascii="黑体" w:eastAsia="黑体"/>
          <w:sz w:val="32"/>
          <w:szCs w:val="32"/>
          <w:lang w:val="en-US" w:eastAsia="zh-CN"/>
        </w:rPr>
        <w:t>要求</w:t>
      </w:r>
    </w:p>
    <w:p w14:paraId="621A8DD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snapToGrid/>
        <w:spacing w:line="560" w:lineRule="exact"/>
        <w:ind w:firstLine="640" w:firstLineChars="200"/>
        <w:textAlignment w:val="auto"/>
        <w:rPr>
          <w:rFonts w:ascii="仿宋_GB2312" w:eastAsia="仿宋_GB2312" w:cs="黑体"/>
          <w:sz w:val="32"/>
        </w:rPr>
      </w:pPr>
      <w:r>
        <w:rPr>
          <w:rFonts w:hint="eastAsia" w:ascii="仿宋_GB2312" w:eastAsia="仿宋_GB2312" w:cs="黑体"/>
          <w:sz w:val="32"/>
        </w:rPr>
        <w:t>1.设备出厂时，在机身焊单字为280×80mm的设备编号，由设备租赁中心提供号码，编号用钢板制作。</w:t>
      </w:r>
    </w:p>
    <w:p w14:paraId="1999A81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snapToGrid/>
        <w:spacing w:line="560" w:lineRule="exact"/>
        <w:ind w:firstLine="640"/>
        <w:textAlignment w:val="auto"/>
        <w:rPr>
          <w:rFonts w:hint="eastAsia" w:ascii="仿宋_GB2312" w:eastAsia="仿宋_GB2312" w:cs="黑体"/>
          <w:sz w:val="32"/>
        </w:rPr>
      </w:pPr>
      <w:r>
        <w:rPr>
          <w:rFonts w:hint="eastAsia" w:ascii="仿宋_GB2312" w:hAnsi="仿宋_GB2312" w:eastAsia="仿宋_GB2312" w:cs="仿宋_GB2312"/>
          <w:sz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</w:rPr>
        <w:t>.</w:t>
      </w:r>
      <w:r>
        <w:rPr>
          <w:rFonts w:hint="eastAsia" w:ascii="仿宋_GB2312" w:eastAsia="仿宋_GB2312" w:cs="黑体"/>
          <w:sz w:val="32"/>
        </w:rPr>
        <w:t>设备在地面和井下安装调试时，厂方派人员到现场</w:t>
      </w:r>
      <w:r>
        <w:rPr>
          <w:rFonts w:hint="eastAsia" w:ascii="仿宋_GB2312" w:eastAsia="仿宋_GB2312" w:cs="黑体"/>
          <w:sz w:val="32"/>
          <w:lang w:val="en-US" w:eastAsia="zh-CN"/>
        </w:rPr>
        <w:t>免费</w:t>
      </w:r>
      <w:r>
        <w:rPr>
          <w:rFonts w:hint="eastAsia" w:ascii="仿宋_GB2312" w:eastAsia="仿宋_GB2312" w:cs="黑体"/>
          <w:sz w:val="32"/>
        </w:rPr>
        <w:t>技术服务，待设备运转正常后，服务人员方可离矿。</w:t>
      </w:r>
    </w:p>
    <w:p w14:paraId="5148F4B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snapToGrid/>
        <w:spacing w:line="560" w:lineRule="exact"/>
        <w:ind w:firstLine="640"/>
        <w:textAlignment w:val="auto"/>
        <w:rPr>
          <w:rFonts w:hint="default" w:ascii="仿宋_GB2312" w:eastAsia="仿宋_GB2312" w:cs="黑体"/>
          <w:sz w:val="32"/>
          <w:lang w:val="en-US" w:eastAsia="zh-CN"/>
        </w:rPr>
      </w:pPr>
      <w:r>
        <w:rPr>
          <w:rFonts w:hint="eastAsia" w:ascii="仿宋_GB2312" w:eastAsia="仿宋_GB2312" w:cs="黑体"/>
          <w:sz w:val="32"/>
          <w:lang w:val="en-US" w:eastAsia="zh-CN"/>
        </w:rPr>
        <w:t>3.为确保设备正常运转，厂家应在淮北地区代储本机型易损备配件，具体品种明细和金额由双方协商确定。</w:t>
      </w:r>
    </w:p>
    <w:p w14:paraId="18FA128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snapToGrid/>
        <w:spacing w:line="560" w:lineRule="exact"/>
        <w:textAlignment w:val="auto"/>
        <w:rPr>
          <w:rFonts w:ascii="仿宋_GB2312" w:eastAsia="仿宋_GB2312" w:cs="黑体"/>
          <w:sz w:val="32"/>
        </w:rPr>
      </w:pPr>
      <w:r>
        <w:rPr>
          <w:rFonts w:hint="eastAsia" w:ascii="仿宋_GB2312" w:eastAsia="仿宋_GB2312" w:cs="黑体"/>
          <w:sz w:val="32"/>
        </w:rPr>
        <w:t xml:space="preserve">    </w:t>
      </w:r>
      <w:r>
        <w:rPr>
          <w:rFonts w:hint="eastAsia" w:ascii="仿宋_GB2312" w:eastAsia="仿宋_GB2312" w:cs="黑体"/>
          <w:sz w:val="32"/>
          <w:lang w:val="en-US" w:eastAsia="zh-CN"/>
        </w:rPr>
        <w:t>4</w:t>
      </w:r>
      <w:r>
        <w:rPr>
          <w:rFonts w:hint="eastAsia" w:ascii="仿宋_GB2312" w:eastAsia="仿宋_GB2312" w:cs="黑体"/>
          <w:sz w:val="32"/>
        </w:rPr>
        <w:t>.厂家应在设备交货期一个月内在</w:t>
      </w:r>
      <w:r>
        <w:rPr>
          <w:rFonts w:hint="eastAsia" w:ascii="仿宋_GB2312" w:hAnsi="Calibri" w:eastAsia="仿宋_GB2312" w:cs="黑体"/>
          <w:b w:val="0"/>
          <w:bCs w:val="0"/>
          <w:color w:val="auto"/>
          <w:kern w:val="2"/>
          <w:sz w:val="32"/>
          <w:szCs w:val="24"/>
          <w:lang w:val="en-US" w:eastAsia="zh-CN" w:bidi="ar-SA"/>
        </w:rPr>
        <w:t>淮北矿业股份有限公司设备租赁中心</w:t>
      </w:r>
      <w:r>
        <w:rPr>
          <w:rFonts w:hint="eastAsia" w:ascii="仿宋_GB2312" w:eastAsia="仿宋_GB2312" w:cs="黑体"/>
          <w:sz w:val="32"/>
        </w:rPr>
        <w:t>库代储电机、液压马达、变量柱塞泵、转子等主要部件各一件。</w:t>
      </w:r>
      <w:r>
        <w:rPr>
          <w:rFonts w:hint="eastAsia" w:ascii="仿宋_GB2312" w:hAnsi="Calibri" w:eastAsia="仿宋_GB2312" w:cs="黑体"/>
          <w:b w:val="0"/>
          <w:bCs w:val="0"/>
          <w:color w:val="auto"/>
          <w:sz w:val="32"/>
          <w:lang w:val="en-US" w:eastAsia="zh-CN"/>
        </w:rPr>
        <w:t>中标厂家上述部件与已在淮北矿业代储部件通用且代储量充足，则无需代储。</w:t>
      </w:r>
    </w:p>
    <w:p w14:paraId="03F1DCA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snapToGrid/>
        <w:spacing w:line="560" w:lineRule="exact"/>
        <w:ind w:firstLine="640" w:firstLineChars="200"/>
        <w:textAlignment w:val="auto"/>
        <w:rPr>
          <w:rFonts w:ascii="仿宋_GB2312" w:eastAsia="仿宋_GB2312" w:cs="黑体"/>
          <w:sz w:val="32"/>
        </w:rPr>
      </w:pPr>
      <w:r>
        <w:rPr>
          <w:rFonts w:hint="eastAsia" w:ascii="仿宋_GB2312" w:eastAsia="仿宋_GB2312" w:cs="黑体"/>
          <w:sz w:val="32"/>
          <w:lang w:val="en-US" w:eastAsia="zh-CN"/>
        </w:rPr>
        <w:t>5</w:t>
      </w:r>
      <w:r>
        <w:rPr>
          <w:rFonts w:hint="eastAsia" w:ascii="仿宋_GB2312" w:eastAsia="仿宋_GB2312" w:cs="黑体"/>
          <w:sz w:val="32"/>
        </w:rPr>
        <w:t>.</w:t>
      </w:r>
      <w:r>
        <w:rPr>
          <w:rFonts w:hint="eastAsia" w:ascii="仿宋_GB2312" w:hAnsi="Helvetica" w:eastAsia="仿宋_GB2312" w:cs="Helvetica"/>
          <w:kern w:val="0"/>
          <w:sz w:val="32"/>
          <w:lang w:val="zh-CN"/>
        </w:rPr>
        <w:t>投标文件应</w:t>
      </w:r>
      <w:r>
        <w:rPr>
          <w:rFonts w:hint="eastAsia" w:ascii="仿宋_GB2312" w:eastAsia="仿宋_GB2312" w:cs="黑体"/>
          <w:sz w:val="32"/>
        </w:rPr>
        <w:t>提供配件价格目录，配件总价不得超过主机的120%。外协件不得高于同类市场价。</w:t>
      </w:r>
    </w:p>
    <w:p w14:paraId="7916484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snapToGrid/>
        <w:spacing w:line="560" w:lineRule="exac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九</w:t>
      </w:r>
      <w:r>
        <w:rPr>
          <w:rFonts w:hint="eastAsia" w:ascii="黑体" w:hAnsi="黑体" w:eastAsia="黑体"/>
          <w:sz w:val="32"/>
          <w:szCs w:val="32"/>
        </w:rPr>
        <w:t>、交货时间及地点</w:t>
      </w:r>
    </w:p>
    <w:p w14:paraId="6D5FA49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1.交货时间：合同签订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生效</w:t>
      </w:r>
      <w:r>
        <w:rPr>
          <w:rFonts w:hint="eastAsia" w:ascii="仿宋_GB2312" w:eastAsia="仿宋_GB2312"/>
          <w:sz w:val="32"/>
          <w:szCs w:val="32"/>
        </w:rPr>
        <w:t>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0天内交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货</w:t>
      </w:r>
      <w:r>
        <w:rPr>
          <w:rFonts w:hint="eastAsia" w:ascii="仿宋_GB2312" w:eastAsia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</w:rPr>
        <w:t>厂家投标时写明设备交货期，</w:t>
      </w:r>
      <w:r>
        <w:rPr>
          <w:rFonts w:hint="eastAsia" w:ascii="仿宋_GB2312" w:hAnsi="Calibri" w:eastAsia="仿宋_GB2312" w:cs="黑体"/>
          <w:b w:val="0"/>
          <w:bCs w:val="0"/>
          <w:color w:val="auto"/>
          <w:sz w:val="32"/>
        </w:rPr>
        <w:t>签订技术协议时以厂家投标承诺的交货期执行（满足供货要求）</w:t>
      </w:r>
    </w:p>
    <w:p w14:paraId="0CE0075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2.交货地点：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免运费送货至</w:t>
      </w:r>
      <w:r>
        <w:rPr>
          <w:rFonts w:hint="eastAsia" w:ascii="仿宋_GB2312" w:eastAsia="仿宋_GB2312"/>
          <w:sz w:val="32"/>
          <w:szCs w:val="32"/>
        </w:rPr>
        <w:t>淮北矿业股份有限公司各生产矿井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及工程处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14389D45">
      <w:pPr>
        <w:keepNext w:val="0"/>
        <w:keepLines w:val="0"/>
        <w:pageBreakBefore w:val="0"/>
        <w:widowControl w:val="0"/>
        <w:tabs>
          <w:tab w:val="left" w:pos="28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Cs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sz w:val="32"/>
          <w:szCs w:val="32"/>
          <w:lang w:val="en-US" w:eastAsia="zh-CN"/>
        </w:rPr>
        <w:t>十</w:t>
      </w:r>
      <w:r>
        <w:rPr>
          <w:rFonts w:hint="eastAsia" w:ascii="黑体" w:hAnsi="黑体" w:eastAsia="黑体" w:cs="黑体"/>
          <w:bCs/>
          <w:color w:val="auto"/>
          <w:sz w:val="32"/>
          <w:szCs w:val="32"/>
        </w:rPr>
        <w:t>、交货</w:t>
      </w:r>
      <w:r>
        <w:rPr>
          <w:rFonts w:hint="eastAsia" w:ascii="黑体" w:hAnsi="黑体" w:eastAsia="黑体" w:cs="黑体"/>
          <w:bCs/>
          <w:color w:val="auto"/>
          <w:sz w:val="32"/>
          <w:szCs w:val="32"/>
          <w:lang w:val="en-US" w:eastAsia="zh-CN"/>
        </w:rPr>
        <w:t>验收要求</w:t>
      </w:r>
    </w:p>
    <w:p w14:paraId="2EA90D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Calibri" w:eastAsia="仿宋_GB2312" w:cs="黑体"/>
          <w:b w:val="0"/>
          <w:bCs w:val="0"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Calibri" w:eastAsia="仿宋_GB2312" w:cs="黑体"/>
          <w:b w:val="0"/>
          <w:bCs w:val="0"/>
          <w:color w:val="auto"/>
          <w:sz w:val="32"/>
        </w:rPr>
        <w:t>1.</w:t>
      </w:r>
      <w:r>
        <w:rPr>
          <w:rFonts w:hint="eastAsia" w:ascii="仿宋_GB2312" w:hAnsi="宋体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设备出</w:t>
      </w:r>
      <w:r>
        <w:rPr>
          <w:rFonts w:hint="eastAsia" w:ascii="仿宋_GB2312" w:hAnsi="Calibri" w:eastAsia="仿宋_GB2312" w:cs="黑体"/>
          <w:b w:val="0"/>
          <w:bCs w:val="0"/>
          <w:color w:val="auto"/>
          <w:kern w:val="2"/>
          <w:sz w:val="32"/>
          <w:szCs w:val="24"/>
          <w:lang w:val="en-US" w:eastAsia="zh-CN" w:bidi="ar-SA"/>
        </w:rPr>
        <w:t>厂前，厂方负责通知淮北矿业股份有限公司组织人员视频验收，验收合格后方可出厂。</w:t>
      </w:r>
      <w:r>
        <w:rPr>
          <w:rFonts w:hint="eastAsia" w:ascii="仿宋_GB2312" w:hAnsi="Calibri" w:eastAsia="仿宋_GB2312" w:cs="黑体"/>
          <w:b w:val="0"/>
          <w:bCs w:val="0"/>
          <w:color w:val="auto"/>
          <w:sz w:val="32"/>
        </w:rPr>
        <w:t>设备到矿后，由厂方及时派人到现场与用户共同验收</w:t>
      </w:r>
      <w:r>
        <w:rPr>
          <w:rFonts w:hint="eastAsia" w:ascii="仿宋_GB2312" w:eastAsia="仿宋_GB2312" w:cs="黑体"/>
          <w:b w:val="0"/>
          <w:bCs w:val="0"/>
          <w:color w:val="auto"/>
          <w:sz w:val="32"/>
          <w:lang w:eastAsia="zh-CN"/>
        </w:rPr>
        <w:t>。</w:t>
      </w:r>
    </w:p>
    <w:p w14:paraId="645B1A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Calibri" w:eastAsia="仿宋_GB2312" w:cs="黑体"/>
          <w:b w:val="0"/>
          <w:bCs w:val="0"/>
          <w:color w:val="auto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Calibri" w:eastAsia="仿宋_GB2312" w:cs="黑体"/>
          <w:b w:val="0"/>
          <w:bCs w:val="0"/>
          <w:color w:val="auto"/>
          <w:kern w:val="2"/>
          <w:sz w:val="32"/>
          <w:szCs w:val="24"/>
          <w:lang w:val="en-US" w:eastAsia="zh-CN" w:bidi="ar-SA"/>
        </w:rPr>
        <w:t>2.设备送达验收后，厂方持接收煤矿或工程处开具的交接单，</w:t>
      </w:r>
      <w:r>
        <w:rPr>
          <w:rFonts w:hint="eastAsia" w:ascii="仿宋_GB2312" w:eastAsia="仿宋_GB2312" w:cs="黑体"/>
          <w:b w:val="0"/>
          <w:bCs w:val="0"/>
          <w:color w:val="auto"/>
          <w:kern w:val="2"/>
          <w:sz w:val="32"/>
          <w:szCs w:val="24"/>
          <w:lang w:val="en-US" w:eastAsia="zh-CN" w:bidi="ar-SA"/>
        </w:rPr>
        <w:t>3</w:t>
      </w:r>
      <w:r>
        <w:rPr>
          <w:rFonts w:hint="eastAsia" w:ascii="仿宋_GB2312" w:hAnsi="Calibri" w:eastAsia="仿宋_GB2312" w:cs="黑体"/>
          <w:b w:val="0"/>
          <w:bCs w:val="0"/>
          <w:color w:val="auto"/>
          <w:kern w:val="2"/>
          <w:sz w:val="32"/>
          <w:szCs w:val="24"/>
          <w:lang w:val="en-US" w:eastAsia="zh-CN" w:bidi="ar-SA"/>
        </w:rPr>
        <w:t>日内到淮北矿业股份有限公司设备租赁中心办理设备验收手续。</w:t>
      </w:r>
    </w:p>
    <w:p w14:paraId="6902A45A">
      <w:pPr>
        <w:keepNext w:val="0"/>
        <w:keepLines w:val="0"/>
        <w:pageBreakBefore w:val="0"/>
        <w:widowControl w:val="0"/>
        <w:wordWrap w:val="0"/>
        <w:topLinePunct w:val="0"/>
        <w:autoSpaceDN/>
        <w:bidi w:val="0"/>
        <w:snapToGrid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</w:p>
    <w:sectPr>
      <w:footerReference r:id="rId5" w:type="default"/>
      <w:pgSz w:w="11906" w:h="16838"/>
      <w:pgMar w:top="1134" w:right="1134" w:bottom="1134" w:left="1417" w:header="851" w:footer="851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2910BD">
    <w:pPr>
      <w:pStyle w:val="9"/>
      <w:framePr w:wrap="around" w:vAnchor="text" w:hAnchor="margin" w:xAlign="right" w:y="1"/>
      <w:rPr>
        <w:rStyle w:val="30"/>
      </w:rPr>
    </w:pPr>
  </w:p>
  <w:p w14:paraId="055E5B3D">
    <w:pPr>
      <w:pStyle w:val="9"/>
      <w:ind w:right="360"/>
      <w:rPr>
        <w:sz w:val="21"/>
        <w:szCs w:val="2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AA3026">
    <w:pPr>
      <w:pStyle w:val="9"/>
      <w:framePr w:wrap="around" w:vAnchor="text" w:hAnchor="margin" w:xAlign="right" w:y="1"/>
      <w:rPr>
        <w:rStyle w:val="30"/>
      </w:rPr>
    </w:pPr>
  </w:p>
  <w:p w14:paraId="59493999">
    <w:pPr>
      <w:pStyle w:val="9"/>
      <w:ind w:right="360"/>
      <w:jc w:val="center"/>
      <w:rPr>
        <w:sz w:val="21"/>
        <w:szCs w:val="21"/>
      </w:rPr>
    </w:pP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 PAGE    \* MERGEFORMAT </w:instrText>
    </w:r>
    <w:r>
      <w:rPr>
        <w:sz w:val="21"/>
        <w:szCs w:val="21"/>
      </w:rPr>
      <w:fldChar w:fldCharType="separate"/>
    </w:r>
    <w:r>
      <w:rPr>
        <w:rFonts w:ascii="Cambria" w:hAnsi="Cambria"/>
        <w:sz w:val="21"/>
        <w:szCs w:val="21"/>
        <w:lang w:val="zh-CN"/>
      </w:rPr>
      <w:t>1</w:t>
    </w:r>
    <w:r>
      <w:rPr>
        <w:sz w:val="21"/>
        <w:szCs w:val="21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8C2AA5">
    <w:pPr>
      <w:pStyle w:val="10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0"/>
  <w:bordersDoNotSurroundFooter w:val="0"/>
  <w:documentProtection w:enforcement="0"/>
  <w:defaultTabStop w:val="5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JlZDVhYjkwNmMyOTNiMGJmNGY2NjM4YjAzN2E0YzQifQ=="/>
  </w:docVars>
  <w:rsids>
    <w:rsidRoot w:val="00AD5B6D"/>
    <w:rsid w:val="00075448"/>
    <w:rsid w:val="000C6DC8"/>
    <w:rsid w:val="0011391F"/>
    <w:rsid w:val="001279B0"/>
    <w:rsid w:val="0019114D"/>
    <w:rsid w:val="002451AF"/>
    <w:rsid w:val="002C39BC"/>
    <w:rsid w:val="004814E2"/>
    <w:rsid w:val="004C008F"/>
    <w:rsid w:val="004D6D7C"/>
    <w:rsid w:val="004F1481"/>
    <w:rsid w:val="004F7D80"/>
    <w:rsid w:val="005C3DAC"/>
    <w:rsid w:val="00604131"/>
    <w:rsid w:val="0062403B"/>
    <w:rsid w:val="00654C70"/>
    <w:rsid w:val="00696506"/>
    <w:rsid w:val="0076424E"/>
    <w:rsid w:val="008042AB"/>
    <w:rsid w:val="00920DDD"/>
    <w:rsid w:val="009700F3"/>
    <w:rsid w:val="009B0B6F"/>
    <w:rsid w:val="009C011B"/>
    <w:rsid w:val="009E34CA"/>
    <w:rsid w:val="00A11936"/>
    <w:rsid w:val="00A16978"/>
    <w:rsid w:val="00A451E4"/>
    <w:rsid w:val="00A53EFE"/>
    <w:rsid w:val="00AD5B6D"/>
    <w:rsid w:val="00B82ABC"/>
    <w:rsid w:val="00BB0242"/>
    <w:rsid w:val="00BB694B"/>
    <w:rsid w:val="00CF2BDE"/>
    <w:rsid w:val="00DB397C"/>
    <w:rsid w:val="00E01843"/>
    <w:rsid w:val="00EB25C5"/>
    <w:rsid w:val="00ED6DDD"/>
    <w:rsid w:val="00FF1486"/>
    <w:rsid w:val="00FF2F1C"/>
    <w:rsid w:val="060E5430"/>
    <w:rsid w:val="07603356"/>
    <w:rsid w:val="078A2A8F"/>
    <w:rsid w:val="08BF22FE"/>
    <w:rsid w:val="08C11C98"/>
    <w:rsid w:val="0904670E"/>
    <w:rsid w:val="09302681"/>
    <w:rsid w:val="0B5B5ED3"/>
    <w:rsid w:val="0D0408FE"/>
    <w:rsid w:val="0DE32476"/>
    <w:rsid w:val="0E873AC0"/>
    <w:rsid w:val="0FB9426B"/>
    <w:rsid w:val="11FC590F"/>
    <w:rsid w:val="161E73BA"/>
    <w:rsid w:val="1AFD19A1"/>
    <w:rsid w:val="1F952E02"/>
    <w:rsid w:val="21864A80"/>
    <w:rsid w:val="21A31F42"/>
    <w:rsid w:val="22D51A6F"/>
    <w:rsid w:val="230704F4"/>
    <w:rsid w:val="24187D61"/>
    <w:rsid w:val="27A2445E"/>
    <w:rsid w:val="299627B0"/>
    <w:rsid w:val="29AD357D"/>
    <w:rsid w:val="2AB57911"/>
    <w:rsid w:val="2D1F4AA2"/>
    <w:rsid w:val="2D4B696E"/>
    <w:rsid w:val="2D7C6C76"/>
    <w:rsid w:val="2DF83930"/>
    <w:rsid w:val="2EB70205"/>
    <w:rsid w:val="2F1E7B25"/>
    <w:rsid w:val="2F7470EF"/>
    <w:rsid w:val="2FE91775"/>
    <w:rsid w:val="301D32E3"/>
    <w:rsid w:val="30876872"/>
    <w:rsid w:val="30EA6E23"/>
    <w:rsid w:val="3215433A"/>
    <w:rsid w:val="32912B99"/>
    <w:rsid w:val="32DF2BCC"/>
    <w:rsid w:val="32EF6632"/>
    <w:rsid w:val="348A2F11"/>
    <w:rsid w:val="348A4CBF"/>
    <w:rsid w:val="353D7F83"/>
    <w:rsid w:val="35BF046C"/>
    <w:rsid w:val="38972BE8"/>
    <w:rsid w:val="38BD6210"/>
    <w:rsid w:val="38F62CF8"/>
    <w:rsid w:val="3B707445"/>
    <w:rsid w:val="3BFE5FB2"/>
    <w:rsid w:val="3D375ADF"/>
    <w:rsid w:val="413C4960"/>
    <w:rsid w:val="42775B1F"/>
    <w:rsid w:val="430873C1"/>
    <w:rsid w:val="430958E5"/>
    <w:rsid w:val="432B3B32"/>
    <w:rsid w:val="46D935C6"/>
    <w:rsid w:val="47D27C81"/>
    <w:rsid w:val="48910D2C"/>
    <w:rsid w:val="489E7893"/>
    <w:rsid w:val="4A7C351A"/>
    <w:rsid w:val="4C04365F"/>
    <w:rsid w:val="4C062B71"/>
    <w:rsid w:val="504F0E3F"/>
    <w:rsid w:val="517538DB"/>
    <w:rsid w:val="54474E7A"/>
    <w:rsid w:val="55245C95"/>
    <w:rsid w:val="594E0054"/>
    <w:rsid w:val="5D030ED7"/>
    <w:rsid w:val="61BC478A"/>
    <w:rsid w:val="61C55405"/>
    <w:rsid w:val="628A1B4A"/>
    <w:rsid w:val="63A36518"/>
    <w:rsid w:val="68382D85"/>
    <w:rsid w:val="68B02B2C"/>
    <w:rsid w:val="6C62486F"/>
    <w:rsid w:val="6C774720"/>
    <w:rsid w:val="6D082649"/>
    <w:rsid w:val="6D366E9F"/>
    <w:rsid w:val="6D976990"/>
    <w:rsid w:val="6E5A6A6D"/>
    <w:rsid w:val="6FA21DFF"/>
    <w:rsid w:val="713D6A28"/>
    <w:rsid w:val="720F75E9"/>
    <w:rsid w:val="747F1C8F"/>
    <w:rsid w:val="74E03EAC"/>
    <w:rsid w:val="752A64AA"/>
    <w:rsid w:val="75EA2B56"/>
    <w:rsid w:val="771836C7"/>
    <w:rsid w:val="78B209FF"/>
    <w:rsid w:val="78D1681D"/>
    <w:rsid w:val="79CA3F88"/>
    <w:rsid w:val="79E306C6"/>
    <w:rsid w:val="7B76301B"/>
    <w:rsid w:val="7BC17945"/>
    <w:rsid w:val="7BE01BB5"/>
    <w:rsid w:val="7E3F0BDF"/>
    <w:rsid w:val="7ED720CD"/>
    <w:rsid w:val="7F837DD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33"/>
    <w:autoRedefine/>
    <w:qFormat/>
    <w:uiPriority w:val="0"/>
    <w:pPr>
      <w:keepNext/>
      <w:keepLines/>
      <w:adjustRightInd w:val="0"/>
      <w:spacing w:before="200" w:after="180" w:line="360" w:lineRule="atLeast"/>
      <w:ind w:left="720" w:hanging="720"/>
      <w:textAlignment w:val="baseline"/>
      <w:outlineLvl w:val="0"/>
    </w:pPr>
    <w:rPr>
      <w:rFonts w:ascii="Arial" w:eastAsia="黑体"/>
      <w:kern w:val="44"/>
      <w:sz w:val="2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44"/>
    <w:autoRedefine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autoRedefine/>
    <w:unhideWhenUsed/>
    <w:qFormat/>
    <w:uiPriority w:val="99"/>
    <w:pPr>
      <w:jc w:val="left"/>
    </w:pPr>
  </w:style>
  <w:style w:type="paragraph" w:styleId="6">
    <w:name w:val="Body Text"/>
    <w:basedOn w:val="1"/>
    <w:link w:val="26"/>
    <w:autoRedefine/>
    <w:qFormat/>
    <w:uiPriority w:val="0"/>
    <w:pPr>
      <w:spacing w:after="120"/>
    </w:pPr>
  </w:style>
  <w:style w:type="paragraph" w:styleId="7">
    <w:name w:val="Plain Text"/>
    <w:basedOn w:val="1"/>
    <w:link w:val="31"/>
    <w:autoRedefine/>
    <w:qFormat/>
    <w:uiPriority w:val="0"/>
    <w:rPr>
      <w:rFonts w:ascii="宋体" w:hAnsi="Courier New"/>
      <w:szCs w:val="20"/>
    </w:rPr>
  </w:style>
  <w:style w:type="paragraph" w:styleId="8">
    <w:name w:val="Balloon Text"/>
    <w:basedOn w:val="1"/>
    <w:link w:val="23"/>
    <w:autoRedefine/>
    <w:qFormat/>
    <w:uiPriority w:val="0"/>
    <w:rPr>
      <w:sz w:val="18"/>
      <w:szCs w:val="18"/>
    </w:rPr>
  </w:style>
  <w:style w:type="paragraph" w:styleId="9">
    <w:name w:val="footer"/>
    <w:basedOn w:val="1"/>
    <w:link w:val="27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32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黑体"/>
      <w:b/>
      <w:bCs/>
      <w:kern w:val="28"/>
      <w:sz w:val="32"/>
      <w:szCs w:val="32"/>
    </w:rPr>
  </w:style>
  <w:style w:type="paragraph" w:styleId="12">
    <w:name w:val="toc 2"/>
    <w:basedOn w:val="1"/>
    <w:next w:val="1"/>
    <w:autoRedefine/>
    <w:qFormat/>
    <w:uiPriority w:val="0"/>
    <w:pPr>
      <w:tabs>
        <w:tab w:val="right" w:leader="dot" w:pos="8296"/>
      </w:tabs>
      <w:ind w:firstLine="1619" w:firstLineChars="576"/>
    </w:pPr>
    <w:rPr>
      <w:szCs w:val="30"/>
    </w:rPr>
  </w:style>
  <w:style w:type="paragraph" w:styleId="13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14">
    <w:name w:val="Title"/>
    <w:basedOn w:val="1"/>
    <w:next w:val="1"/>
    <w:link w:val="24"/>
    <w:autoRedefine/>
    <w:qFormat/>
    <w:uiPriority w:val="0"/>
    <w:pPr>
      <w:spacing w:before="240" w:after="60"/>
      <w:jc w:val="center"/>
      <w:outlineLvl w:val="0"/>
    </w:pPr>
    <w:rPr>
      <w:rFonts w:ascii="Cambria" w:hAnsi="Cambria" w:cs="黑体"/>
      <w:b/>
      <w:bCs/>
      <w:sz w:val="32"/>
      <w:szCs w:val="32"/>
    </w:rPr>
  </w:style>
  <w:style w:type="table" w:styleId="16">
    <w:name w:val="Table Grid"/>
    <w:basedOn w:val="1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autoRedefine/>
    <w:qFormat/>
    <w:uiPriority w:val="22"/>
    <w:rPr>
      <w:b/>
      <w:bCs/>
    </w:rPr>
  </w:style>
  <w:style w:type="character" w:styleId="19">
    <w:name w:val="page number"/>
    <w:basedOn w:val="17"/>
    <w:autoRedefine/>
    <w:qFormat/>
    <w:uiPriority w:val="0"/>
  </w:style>
  <w:style w:type="character" w:styleId="20">
    <w:name w:val="Hyperlink"/>
    <w:basedOn w:val="17"/>
    <w:autoRedefine/>
    <w:qFormat/>
    <w:uiPriority w:val="0"/>
    <w:rPr>
      <w:color w:val="0000FF"/>
      <w:u w:val="single"/>
    </w:rPr>
  </w:style>
  <w:style w:type="character" w:styleId="21">
    <w:name w:val="annotation reference"/>
    <w:basedOn w:val="17"/>
    <w:autoRedefine/>
    <w:unhideWhenUsed/>
    <w:qFormat/>
    <w:uiPriority w:val="99"/>
    <w:rPr>
      <w:sz w:val="21"/>
      <w:szCs w:val="21"/>
    </w:rPr>
  </w:style>
  <w:style w:type="character" w:customStyle="1" w:styleId="22">
    <w:name w:val="question-title2"/>
    <w:basedOn w:val="17"/>
    <w:autoRedefine/>
    <w:qFormat/>
    <w:uiPriority w:val="0"/>
  </w:style>
  <w:style w:type="character" w:customStyle="1" w:styleId="23">
    <w:name w:val="批注框文本 Char"/>
    <w:basedOn w:val="17"/>
    <w:link w:val="8"/>
    <w:autoRedefine/>
    <w:qFormat/>
    <w:uiPriority w:val="0"/>
    <w:rPr>
      <w:rFonts w:cs="Times New Roman"/>
      <w:sz w:val="18"/>
      <w:szCs w:val="18"/>
    </w:rPr>
  </w:style>
  <w:style w:type="character" w:customStyle="1" w:styleId="24">
    <w:name w:val="标题 Char"/>
    <w:basedOn w:val="17"/>
    <w:link w:val="14"/>
    <w:autoRedefine/>
    <w:qFormat/>
    <w:uiPriority w:val="0"/>
    <w:rPr>
      <w:rFonts w:ascii="Cambria" w:hAnsi="Cambria" w:cs="黑体"/>
      <w:b/>
      <w:bCs/>
      <w:kern w:val="2"/>
      <w:sz w:val="32"/>
      <w:szCs w:val="32"/>
    </w:rPr>
  </w:style>
  <w:style w:type="character" w:customStyle="1" w:styleId="25">
    <w:name w:val="页眉 Char"/>
    <w:basedOn w:val="17"/>
    <w:link w:val="10"/>
    <w:autoRedefine/>
    <w:qFormat/>
    <w:uiPriority w:val="0"/>
    <w:rPr>
      <w:rFonts w:cs="Times New Roman"/>
      <w:sz w:val="18"/>
      <w:szCs w:val="18"/>
    </w:rPr>
  </w:style>
  <w:style w:type="character" w:customStyle="1" w:styleId="26">
    <w:name w:val="正文文本 Char"/>
    <w:basedOn w:val="17"/>
    <w:link w:val="6"/>
    <w:autoRedefine/>
    <w:qFormat/>
    <w:uiPriority w:val="0"/>
    <w:rPr>
      <w:kern w:val="2"/>
      <w:sz w:val="21"/>
      <w:szCs w:val="22"/>
    </w:rPr>
  </w:style>
  <w:style w:type="character" w:customStyle="1" w:styleId="27">
    <w:name w:val="页脚 Char"/>
    <w:basedOn w:val="17"/>
    <w:link w:val="9"/>
    <w:autoRedefine/>
    <w:qFormat/>
    <w:uiPriority w:val="0"/>
    <w:rPr>
      <w:rFonts w:cs="Times New Roman"/>
      <w:sz w:val="18"/>
      <w:szCs w:val="18"/>
    </w:rPr>
  </w:style>
  <w:style w:type="character" w:customStyle="1" w:styleId="28">
    <w:name w:val="纯文本 Char"/>
    <w:basedOn w:val="17"/>
    <w:link w:val="29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/>
    </w:rPr>
  </w:style>
  <w:style w:type="paragraph" w:customStyle="1" w:styleId="29">
    <w:name w:val="纯文本1"/>
    <w:basedOn w:val="1"/>
    <w:link w:val="28"/>
    <w:autoRedefine/>
    <w:qFormat/>
    <w:uiPriority w:val="0"/>
    <w:rPr>
      <w:rFonts w:ascii="宋体" w:hAnsi="Courier New" w:cs="Courier New"/>
      <w:szCs w:val="21"/>
    </w:rPr>
  </w:style>
  <w:style w:type="character" w:customStyle="1" w:styleId="30">
    <w:name w:val="页码1"/>
    <w:basedOn w:val="17"/>
    <w:autoRedefine/>
    <w:qFormat/>
    <w:uiPriority w:val="0"/>
  </w:style>
  <w:style w:type="character" w:customStyle="1" w:styleId="31">
    <w:name w:val="纯文本 Char1"/>
    <w:basedOn w:val="17"/>
    <w:link w:val="7"/>
    <w:autoRedefine/>
    <w:semiHidden/>
    <w:qFormat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32">
    <w:name w:val="副标题 Char"/>
    <w:basedOn w:val="17"/>
    <w:link w:val="11"/>
    <w:autoRedefine/>
    <w:qFormat/>
    <w:uiPriority w:val="0"/>
    <w:rPr>
      <w:rFonts w:ascii="Cambria" w:hAnsi="Cambria" w:cs="黑体"/>
      <w:b/>
      <w:bCs/>
      <w:kern w:val="28"/>
      <w:sz w:val="32"/>
      <w:szCs w:val="32"/>
    </w:rPr>
  </w:style>
  <w:style w:type="character" w:customStyle="1" w:styleId="33">
    <w:name w:val="标题 1 Char"/>
    <w:basedOn w:val="17"/>
    <w:link w:val="2"/>
    <w:autoRedefine/>
    <w:qFormat/>
    <w:uiPriority w:val="0"/>
    <w:rPr>
      <w:rFonts w:ascii="Arial" w:eastAsia="黑体"/>
      <w:kern w:val="44"/>
      <w:sz w:val="24"/>
      <w:szCs w:val="22"/>
    </w:rPr>
  </w:style>
  <w:style w:type="paragraph" w:customStyle="1" w:styleId="34">
    <w:name w:val="正文2"/>
    <w:basedOn w:val="1"/>
    <w:autoRedefine/>
    <w:qFormat/>
    <w:uiPriority w:val="0"/>
    <w:pPr>
      <w:adjustRightInd w:val="0"/>
      <w:spacing w:after="60" w:line="360" w:lineRule="atLeast"/>
      <w:ind w:left="57" w:right="57"/>
      <w:jc w:val="center"/>
      <w:textAlignment w:val="baseline"/>
    </w:pPr>
    <w:rPr>
      <w:rFonts w:ascii="宋体" w:hAnsi="Times New Roman"/>
      <w:kern w:val="0"/>
      <w:szCs w:val="20"/>
    </w:rPr>
  </w:style>
  <w:style w:type="paragraph" w:customStyle="1" w:styleId="35">
    <w:name w:val="列出段落1"/>
    <w:basedOn w:val="1"/>
    <w:autoRedefine/>
    <w:qFormat/>
    <w:uiPriority w:val="34"/>
    <w:pPr>
      <w:ind w:firstLine="420" w:firstLineChars="200"/>
    </w:pPr>
  </w:style>
  <w:style w:type="paragraph" w:customStyle="1" w:styleId="36">
    <w:name w:val="列出段落11"/>
    <w:basedOn w:val="1"/>
    <w:autoRedefine/>
    <w:qFormat/>
    <w:uiPriority w:val="34"/>
    <w:pPr>
      <w:ind w:firstLine="420" w:firstLineChars="200"/>
    </w:pPr>
  </w:style>
  <w:style w:type="paragraph" w:customStyle="1" w:styleId="37">
    <w:name w:val="Char Char Char Char"/>
    <w:basedOn w:val="1"/>
    <w:autoRedefine/>
    <w:qFormat/>
    <w:uiPriority w:val="0"/>
    <w:pPr>
      <w:snapToGrid w:val="0"/>
    </w:pPr>
    <w:rPr>
      <w:rFonts w:ascii="Times New Roman" w:hAnsi="Times New Roman"/>
      <w:szCs w:val="24"/>
    </w:rPr>
  </w:style>
  <w:style w:type="paragraph" w:customStyle="1" w:styleId="38">
    <w:name w:val="日期1"/>
    <w:basedOn w:val="1"/>
    <w:next w:val="1"/>
    <w:autoRedefine/>
    <w:qFormat/>
    <w:uiPriority w:val="0"/>
    <w:pPr>
      <w:ind w:left="100" w:leftChars="2500"/>
    </w:pPr>
  </w:style>
  <w:style w:type="paragraph" w:customStyle="1" w:styleId="39">
    <w:name w:val="正文缩进1"/>
    <w:basedOn w:val="1"/>
    <w:autoRedefine/>
    <w:qFormat/>
    <w:uiPriority w:val="0"/>
    <w:pPr>
      <w:adjustRightInd w:val="0"/>
      <w:spacing w:line="360" w:lineRule="atLeast"/>
      <w:ind w:firstLine="482"/>
      <w:textAlignment w:val="baseline"/>
    </w:pPr>
    <w:rPr>
      <w:rFonts w:ascii="Times New Roman" w:hAnsi="Times New Roman"/>
      <w:kern w:val="0"/>
      <w:sz w:val="24"/>
      <w:szCs w:val="20"/>
    </w:rPr>
  </w:style>
  <w:style w:type="paragraph" w:customStyle="1" w:styleId="40">
    <w:name w:val="_Style 8"/>
    <w:basedOn w:val="1"/>
    <w:autoRedefine/>
    <w:qFormat/>
    <w:uiPriority w:val="0"/>
    <w:pPr>
      <w:widowControl/>
      <w:spacing w:after="160" w:line="240" w:lineRule="exact"/>
      <w:jc w:val="left"/>
    </w:pPr>
    <w:rPr>
      <w:rFonts w:ascii="Times New Roman" w:hAnsi="Times New Roman"/>
      <w:sz w:val="28"/>
      <w:szCs w:val="20"/>
    </w:rPr>
  </w:style>
  <w:style w:type="paragraph" w:customStyle="1" w:styleId="41">
    <w:name w:val="默认段落字体 Para Char Char Char Char"/>
    <w:basedOn w:val="1"/>
    <w:autoRedefine/>
    <w:qFormat/>
    <w:uiPriority w:val="0"/>
    <w:rPr>
      <w:rFonts w:ascii="Times New Roman" w:hAnsi="Times New Roman"/>
      <w:szCs w:val="24"/>
    </w:rPr>
  </w:style>
  <w:style w:type="paragraph" w:customStyle="1" w:styleId="42">
    <w:name w:val="正文文本缩进 21"/>
    <w:basedOn w:val="1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/>
      <w:szCs w:val="24"/>
    </w:rPr>
  </w:style>
  <w:style w:type="paragraph" w:customStyle="1" w:styleId="43">
    <w:name w:val="Char Char Char Char Char Char Char Char Char Char"/>
    <w:basedOn w:val="1"/>
    <w:autoRedefine/>
    <w:qFormat/>
    <w:uiPriority w:val="0"/>
    <w:rPr>
      <w:rFonts w:ascii="Tahoma" w:hAnsi="Tahoma" w:eastAsia="楷体_GB2312"/>
      <w:spacing w:val="10"/>
      <w:sz w:val="24"/>
      <w:szCs w:val="20"/>
    </w:rPr>
  </w:style>
  <w:style w:type="character" w:customStyle="1" w:styleId="44">
    <w:name w:val="标题 3 Char"/>
    <w:basedOn w:val="17"/>
    <w:link w:val="4"/>
    <w:autoRedefine/>
    <w:semiHidden/>
    <w:qFormat/>
    <w:uiPriority w:val="9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1843</Words>
  <Characters>2005</Characters>
  <Lines>2</Lines>
  <Paragraphs>3</Paragraphs>
  <TotalTime>0</TotalTime>
  <ScaleCrop>false</ScaleCrop>
  <LinksUpToDate>false</LinksUpToDate>
  <CharactersWithSpaces>2092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2021-04-12T09:42:00Z</dcterms:created>
  <dc:creator>X</dc:creator>
  <cp:lastModifiedBy>陆威</cp:lastModifiedBy>
  <cp:lastPrinted>2024-07-15T03:24:00Z</cp:lastPrinted>
  <dcterms:modified xsi:type="dcterms:W3CDTF">2026-04-10T01:40:30Z</dcterms:modified>
  <dc:title>宁夏宝丰能源集团有限公司告知函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D8EA6FA4AD9B459DAE78E01A6B37A4DD</vt:lpwstr>
  </property>
  <property fmtid="{D5CDD505-2E9C-101B-9397-08002B2CF9AE}" pid="4" name="KSOTemplateDocerSaveRecord">
    <vt:lpwstr>eyJoZGlkIjoiOGJlZDVhYjkwNmMyOTNiMGJmNGY2NjM4YjAzN2E0YzQiLCJ1c2VySWQiOiI0Njc5NzgxNDMifQ==</vt:lpwstr>
  </property>
</Properties>
</file>