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atLeast"/>
        <w:rPr>
          <w:sz w:val="44"/>
          <w:szCs w:val="44"/>
        </w:rPr>
      </w:pPr>
    </w:p>
    <w:p>
      <w:pPr>
        <w:spacing w:line="560" w:lineRule="exact"/>
        <w:jc w:val="center"/>
        <w:rPr>
          <w:rFonts w:hint="eastAsia" w:ascii="宋体" w:hAnsi="宋体"/>
          <w:b/>
          <w:sz w:val="36"/>
          <w:szCs w:val="36"/>
          <w:lang w:val="en-US" w:eastAsia="zh-CN"/>
        </w:rPr>
      </w:pPr>
      <w:r>
        <w:rPr>
          <w:rFonts w:hint="eastAsia" w:ascii="宋体" w:hAnsi="宋体"/>
          <w:b/>
          <w:sz w:val="36"/>
          <w:szCs w:val="36"/>
          <w:lang w:val="en-US" w:eastAsia="zh-CN"/>
        </w:rPr>
        <w:t>淮北矿业股份有限公司生产装备分公司</w:t>
      </w:r>
    </w:p>
    <w:p>
      <w:pPr>
        <w:spacing w:line="560" w:lineRule="exact"/>
        <w:jc w:val="center"/>
        <w:rPr>
          <w:rFonts w:hint="eastAsia" w:ascii="宋体" w:hAnsi="宋体"/>
          <w:b/>
          <w:sz w:val="36"/>
          <w:szCs w:val="36"/>
        </w:rPr>
      </w:pPr>
      <w:r>
        <w:rPr>
          <w:rFonts w:hint="eastAsia" w:ascii="宋体" w:hAnsi="宋体"/>
          <w:b/>
          <w:sz w:val="36"/>
          <w:szCs w:val="36"/>
          <w:lang w:val="en-US" w:eastAsia="zh-CN"/>
        </w:rPr>
        <w:t>2026年封孔器配件采购</w:t>
      </w:r>
      <w:r>
        <w:rPr>
          <w:rFonts w:hint="eastAsia" w:ascii="宋体" w:hAnsi="宋体"/>
          <w:b/>
          <w:sz w:val="36"/>
          <w:szCs w:val="36"/>
        </w:rPr>
        <w:t>技术规格书</w:t>
      </w:r>
    </w:p>
    <w:p>
      <w:pPr>
        <w:spacing w:line="560" w:lineRule="exact"/>
        <w:jc w:val="center"/>
        <w:rPr>
          <w:rFonts w:ascii="宋体" w:hAnsi="宋体"/>
          <w:b/>
          <w:sz w:val="36"/>
          <w:szCs w:val="36"/>
        </w:rPr>
      </w:pPr>
    </w:p>
    <w:p>
      <w:pPr>
        <w:pStyle w:val="2"/>
      </w:pPr>
    </w:p>
    <w:p>
      <w:pPr>
        <w:pStyle w:val="2"/>
      </w:pPr>
    </w:p>
    <w:p>
      <w:pPr>
        <w:pStyle w:val="2"/>
      </w:pPr>
    </w:p>
    <w:p>
      <w:pPr>
        <w:pStyle w:val="2"/>
      </w:pPr>
    </w:p>
    <w:p>
      <w:pPr>
        <w:pStyle w:val="2"/>
      </w:pPr>
    </w:p>
    <w:p>
      <w:pPr>
        <w:pStyle w:val="2"/>
      </w:pPr>
    </w:p>
    <w:p>
      <w:pPr>
        <w:pStyle w:val="2"/>
      </w:pPr>
    </w:p>
    <w:p>
      <w:pPr>
        <w:pStyle w:val="2"/>
      </w:pPr>
    </w:p>
    <w:p>
      <w:pPr>
        <w:spacing w:line="560" w:lineRule="exact"/>
        <w:jc w:val="center"/>
        <w:rPr>
          <w:rFonts w:ascii="宋体" w:hAnsi="宋体"/>
          <w:b/>
          <w:sz w:val="36"/>
          <w:szCs w:val="36"/>
        </w:rPr>
      </w:pPr>
    </w:p>
    <w:p>
      <w:pPr>
        <w:spacing w:line="560" w:lineRule="atLeast"/>
        <w:rPr>
          <w:sz w:val="44"/>
          <w:szCs w:val="44"/>
        </w:rPr>
      </w:pPr>
    </w:p>
    <w:p>
      <w:pPr>
        <w:spacing w:line="560" w:lineRule="atLeast"/>
        <w:rPr>
          <w:sz w:val="44"/>
          <w:szCs w:val="44"/>
        </w:rPr>
      </w:pPr>
    </w:p>
    <w:p>
      <w:pPr>
        <w:pStyle w:val="2"/>
        <w:spacing w:line="560" w:lineRule="atLeast"/>
        <w:rPr>
          <w:sz w:val="44"/>
          <w:szCs w:val="44"/>
        </w:rPr>
      </w:pPr>
    </w:p>
    <w:p>
      <w:pPr>
        <w:spacing w:line="560" w:lineRule="atLeast"/>
        <w:rPr>
          <w:sz w:val="44"/>
          <w:szCs w:val="44"/>
        </w:rPr>
      </w:pPr>
    </w:p>
    <w:p>
      <w:pPr>
        <w:spacing w:line="560" w:lineRule="atLeast"/>
        <w:rPr>
          <w:sz w:val="44"/>
          <w:szCs w:val="44"/>
        </w:rPr>
      </w:pPr>
    </w:p>
    <w:p>
      <w:pPr>
        <w:spacing w:line="560" w:lineRule="atLeast"/>
        <w:rPr>
          <w:sz w:val="44"/>
          <w:szCs w:val="44"/>
        </w:rPr>
      </w:pPr>
    </w:p>
    <w:p>
      <w:pPr>
        <w:spacing w:line="560" w:lineRule="atLeast"/>
        <w:rPr>
          <w:b/>
          <w:bCs/>
          <w:sz w:val="44"/>
          <w:szCs w:val="44"/>
        </w:rPr>
      </w:pPr>
    </w:p>
    <w:p>
      <w:pPr>
        <w:spacing w:line="560" w:lineRule="atLeast"/>
        <w:ind w:firstLine="2570" w:firstLineChars="800"/>
        <w:jc w:val="both"/>
        <w:rPr>
          <w:rFonts w:hint="default" w:eastAsia="宋体"/>
          <w:b/>
          <w:bCs/>
          <w:sz w:val="32"/>
          <w:szCs w:val="32"/>
          <w:u w:val="single"/>
          <w:lang w:val="en-US" w:eastAsia="zh-CN"/>
        </w:rPr>
      </w:pPr>
      <w:r>
        <w:rPr>
          <w:rFonts w:hint="eastAsia"/>
          <w:b/>
          <w:bCs/>
          <w:sz w:val="32"/>
          <w:szCs w:val="32"/>
        </w:rPr>
        <w:t>编制：</w:t>
      </w:r>
      <w:r>
        <w:rPr>
          <w:rFonts w:hint="eastAsia"/>
          <w:b/>
          <w:bCs/>
          <w:sz w:val="32"/>
          <w:szCs w:val="32"/>
          <w:u w:val="single"/>
          <w:lang w:val="en-US" w:eastAsia="zh-CN"/>
        </w:rPr>
        <w:t xml:space="preserve">             </w:t>
      </w:r>
    </w:p>
    <w:p>
      <w:pPr>
        <w:spacing w:line="560" w:lineRule="atLeast"/>
        <w:ind w:firstLine="2570" w:firstLineChars="800"/>
        <w:jc w:val="both"/>
        <w:rPr>
          <w:rFonts w:hint="default" w:eastAsia="宋体"/>
          <w:b/>
          <w:bCs/>
          <w:sz w:val="32"/>
          <w:szCs w:val="32"/>
          <w:u w:val="single"/>
          <w:lang w:val="en-US" w:eastAsia="zh-CN"/>
        </w:rPr>
      </w:pPr>
      <w:r>
        <w:rPr>
          <w:rFonts w:hint="eastAsia"/>
          <w:b/>
          <w:bCs/>
          <w:sz w:val="32"/>
          <w:szCs w:val="32"/>
        </w:rPr>
        <w:t>校对：</w:t>
      </w:r>
      <w:r>
        <w:rPr>
          <w:rFonts w:hint="eastAsia"/>
          <w:b/>
          <w:bCs/>
          <w:sz w:val="32"/>
          <w:szCs w:val="32"/>
          <w:u w:val="single"/>
          <w:lang w:val="en-US" w:eastAsia="zh-CN"/>
        </w:rPr>
        <w:t xml:space="preserve">             </w:t>
      </w:r>
    </w:p>
    <w:p>
      <w:pPr>
        <w:spacing w:line="560" w:lineRule="atLeast"/>
        <w:ind w:firstLine="2570" w:firstLineChars="800"/>
        <w:jc w:val="both"/>
        <w:rPr>
          <w:rFonts w:hint="eastAsia" w:eastAsia="宋体"/>
          <w:b/>
          <w:bCs/>
          <w:sz w:val="32"/>
          <w:szCs w:val="32"/>
          <w:lang w:eastAsia="zh-CN"/>
        </w:rPr>
      </w:pPr>
      <w:r>
        <w:rPr>
          <w:rFonts w:hint="eastAsia"/>
          <w:b/>
          <w:bCs/>
          <w:sz w:val="32"/>
          <w:szCs w:val="32"/>
        </w:rPr>
        <w:t>审批：</w:t>
      </w:r>
      <w:r>
        <w:rPr>
          <w:rFonts w:hint="eastAsia"/>
          <w:b/>
          <w:bCs/>
          <w:sz w:val="32"/>
          <w:szCs w:val="32"/>
          <w:u w:val="single"/>
          <w:lang w:val="en-US" w:eastAsia="zh-CN"/>
        </w:rPr>
        <w:t xml:space="preserve">             </w:t>
      </w:r>
    </w:p>
    <w:p>
      <w:pPr>
        <w:spacing w:line="560" w:lineRule="atLeast"/>
        <w:ind w:firstLine="2570" w:firstLineChars="800"/>
        <w:rPr>
          <w:rFonts w:hint="eastAsia"/>
          <w:b/>
          <w:bCs/>
          <w:sz w:val="32"/>
          <w:szCs w:val="32"/>
          <w:u w:val="single"/>
          <w:lang w:val="en-US" w:eastAsia="zh-CN"/>
        </w:rPr>
      </w:pPr>
      <w:r>
        <w:rPr>
          <w:rFonts w:hint="eastAsia"/>
          <w:b/>
          <w:bCs/>
          <w:sz w:val="32"/>
          <w:szCs w:val="32"/>
        </w:rPr>
        <w:t>单位：</w:t>
      </w:r>
      <w:r>
        <w:rPr>
          <w:rFonts w:hint="eastAsia"/>
          <w:b/>
          <w:bCs/>
          <w:sz w:val="32"/>
          <w:szCs w:val="32"/>
          <w:u w:val="single"/>
          <w:lang w:val="en-US" w:eastAsia="zh-CN"/>
        </w:rPr>
        <w:t xml:space="preserve">             </w:t>
      </w:r>
    </w:p>
    <w:p>
      <w:pPr>
        <w:rPr>
          <w:rFonts w:hint="eastAsia" w:ascii="宋体" w:hAnsi="宋体" w:eastAsia="宋体" w:cs="宋体"/>
          <w:b/>
          <w:bCs/>
          <w:color w:val="FF0000"/>
          <w:sz w:val="36"/>
          <w:szCs w:val="36"/>
          <w:lang w:val="en-US" w:eastAsia="zh-CN"/>
        </w:rPr>
      </w:pPr>
      <w:r>
        <w:rPr>
          <w:rFonts w:hint="eastAsia" w:ascii="宋体" w:hAnsi="宋体" w:eastAsia="宋体" w:cs="宋体"/>
          <w:b/>
          <w:bCs/>
          <w:color w:val="FF0000"/>
          <w:sz w:val="36"/>
          <w:szCs w:val="36"/>
          <w:lang w:val="en-US" w:eastAsia="zh-CN"/>
        </w:rPr>
        <w:br w:type="page"/>
      </w:r>
    </w:p>
    <w:p>
      <w:pPr>
        <w:spacing w:line="560" w:lineRule="exact"/>
        <w:jc w:val="center"/>
        <w:rPr>
          <w:rFonts w:hint="eastAsia" w:ascii="宋体" w:hAnsi="宋体"/>
          <w:b/>
          <w:sz w:val="36"/>
          <w:szCs w:val="36"/>
          <w:lang w:val="en-US" w:eastAsia="zh-CN"/>
        </w:rPr>
      </w:pPr>
      <w:r>
        <w:rPr>
          <w:rFonts w:hint="eastAsia" w:ascii="宋体" w:hAnsi="宋体"/>
          <w:b/>
          <w:sz w:val="36"/>
          <w:szCs w:val="36"/>
          <w:lang w:val="en-US" w:eastAsia="zh-CN"/>
        </w:rPr>
        <w:t>淮北矿业股份有限公司生产装备分公司</w:t>
      </w:r>
    </w:p>
    <w:p>
      <w:pPr>
        <w:spacing w:line="560" w:lineRule="exact"/>
        <w:jc w:val="center"/>
        <w:rPr>
          <w:rFonts w:hint="eastAsia" w:ascii="宋体" w:hAnsi="宋体"/>
          <w:b/>
          <w:sz w:val="36"/>
          <w:szCs w:val="36"/>
        </w:rPr>
      </w:pPr>
      <w:r>
        <w:rPr>
          <w:rFonts w:hint="eastAsia" w:ascii="宋体" w:hAnsi="宋体"/>
          <w:b/>
          <w:sz w:val="36"/>
          <w:szCs w:val="36"/>
          <w:lang w:val="en-US" w:eastAsia="zh-CN"/>
        </w:rPr>
        <w:t>2026年封孔器配件采购</w:t>
      </w:r>
      <w:r>
        <w:rPr>
          <w:rFonts w:hint="eastAsia" w:ascii="宋体" w:hAnsi="宋体"/>
          <w:b/>
          <w:sz w:val="36"/>
          <w:szCs w:val="36"/>
        </w:rPr>
        <w:t>技术规格书</w:t>
      </w:r>
    </w:p>
    <w:p>
      <w:pPr>
        <w:pStyle w:val="2"/>
        <w:jc w:val="both"/>
        <w:rPr>
          <w:rFonts w:hint="eastAsia" w:ascii="仿宋_GB2312" w:hAnsi="仿宋_GB2312" w:eastAsia="仿宋_GB2312" w:cs="仿宋_GB2312"/>
          <w:b/>
          <w:bCs/>
          <w:color w:val="auto"/>
          <w:sz w:val="32"/>
          <w:szCs w:val="32"/>
          <w:lang w:val="en-US" w:eastAsia="zh-CN"/>
        </w:rPr>
      </w:pPr>
    </w:p>
    <w:p>
      <w:pPr>
        <w:pStyle w:val="2"/>
        <w:keepNext w:val="0"/>
        <w:keepLines w:val="0"/>
        <w:pageBreakBefore w:val="0"/>
        <w:widowControl w:val="0"/>
        <w:numPr>
          <w:ilvl w:val="0"/>
          <w:numId w:val="1"/>
        </w:numPr>
        <w:kinsoku/>
        <w:wordWrap/>
        <w:overflowPunct/>
        <w:topLinePunct w:val="0"/>
        <w:autoSpaceDE w:val="0"/>
        <w:autoSpaceDN w:val="0"/>
        <w:bidi w:val="0"/>
        <w:adjustRightInd w:val="0"/>
        <w:snapToGrid/>
        <w:spacing w:line="560" w:lineRule="exact"/>
        <w:ind w:left="0" w:leftChars="0" w:firstLine="0" w:firstLineChars="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采购物资概况</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本项目采购的封孔器配件主要用于淮北矿业股份有限公司下属各矿厂瓦斯抽排相关作业，适用于煤矿井下瓦斯抽排管孔径50mm的工况环境，使用环境需满足井下阻燃抗静电、抗压、防老化等特殊要求。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leftChars="0"/>
        <w:jc w:val="both"/>
        <w:textAlignment w:val="auto"/>
        <w:rPr>
          <w:rFonts w:hint="eastAsia" w:ascii="仿宋_GB2312" w:hAnsi="仿宋_GB2312" w:eastAsia="仿宋_GB2312" w:cs="仿宋_GB2312"/>
          <w:b/>
          <w:bCs/>
          <w:color w:val="FF0000"/>
          <w:sz w:val="32"/>
          <w:szCs w:val="32"/>
          <w:lang w:val="en-US" w:eastAsia="zh-CN"/>
        </w:rPr>
      </w:pPr>
      <w:r>
        <w:rPr>
          <w:rFonts w:hint="eastAsia" w:ascii="仿宋_GB2312" w:hAnsi="仿宋_GB2312" w:eastAsia="仿宋_GB2312" w:cs="仿宋_GB2312"/>
          <w:b/>
          <w:bCs/>
          <w:color w:val="auto"/>
          <w:sz w:val="32"/>
          <w:szCs w:val="32"/>
          <w:lang w:val="en-US" w:eastAsia="zh-CN"/>
        </w:rPr>
        <w:t>二、技术参数及技术要求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1.用于制造矿用封孔器，适用瓦斯抽排管孔径：50mm。</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2.注浆管：阻燃抗静电PE管，外径16mm，壁厚2mm，整盘长度误差小于0.1m，外径允许误差±0.1mm，抗压强度大于等于1.5MPa，管外侧要有明显米数标识。</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3.爆破阀：新型防老化PVC（矿用封孔器专用定压爆破件），外径22mm，内径18mm，壁厚2mm，内径允许误差±0.1mm，爆破压力0.6MPa，长度规格含5cm和7cm两种，以“5cm、7cm各1个”为一件。</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4.单耳无极卡箍：不锈钢材质，241及226两种规格。</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5.注浆囊袋：精纺毛织物材质，600mm*240mm双层，表面无缝合线，囊袋承压压力≥1.0MPa，最小爆破压力2.2MPa。</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6.注浆管用连接件：内径16mm。</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7.注浆管、爆破阀、单耳无极卡箍、注浆囊袋及注浆管用连接件外观无油污，无损坏迹象，无妨碍使用的缺陷。</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8.矿用封孔器用注浆管作火焰燃烧试验时，当酒精喷灯燃烧器移走后，每组三根试件的火焰和火星燃烧时间的算术平均值不得大于30s。</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9.矿用封孔器用注浆管表面电阻值应小于等于1×10</w:t>
      </w:r>
      <w:r>
        <w:rPr>
          <w:rFonts w:hint="eastAsia" w:ascii="仿宋_GB2312" w:hAnsi="仿宋_GB2312" w:eastAsia="仿宋_GB2312" w:cs="仿宋_GB2312"/>
          <w:b w:val="0"/>
          <w:bCs w:val="0"/>
          <w:color w:val="auto"/>
          <w:sz w:val="32"/>
          <w:szCs w:val="32"/>
          <w:vertAlign w:val="superscript"/>
          <w:lang w:val="en-US" w:eastAsia="zh-CN"/>
        </w:rPr>
        <w:t>6</w:t>
      </w:r>
      <w:r>
        <w:rPr>
          <w:rFonts w:hint="eastAsia" w:ascii="仿宋_GB2312" w:hAnsi="仿宋_GB2312" w:eastAsia="仿宋_GB2312" w:cs="仿宋_GB2312"/>
          <w:b w:val="0"/>
          <w:bCs w:val="0"/>
          <w:color w:val="auto"/>
          <w:sz w:val="32"/>
          <w:szCs w:val="32"/>
          <w:lang w:val="en-US" w:eastAsia="zh-CN"/>
        </w:rPr>
        <w:t>Ω。</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10.各配件及配件组成成品矿用封孔器应满足《MT/T 1110—2011矿用封孔器通用技术条件》相关规定。</w:t>
      </w:r>
    </w:p>
    <w:p>
      <w:pPr>
        <w:pStyle w:val="2"/>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auto"/>
        <w:rPr>
          <w:rFonts w:hint="eastAsia" w:ascii="仿宋_GB2312" w:hAnsi="仿宋_GB2312" w:eastAsia="仿宋_GB2312" w:cs="仿宋_GB2312"/>
          <w:b/>
          <w:bCs/>
          <w:color w:val="FF0000"/>
          <w:sz w:val="32"/>
          <w:szCs w:val="32"/>
          <w:lang w:val="en-US" w:eastAsia="zh-CN"/>
        </w:rPr>
      </w:pPr>
      <w:r>
        <w:rPr>
          <w:rFonts w:hint="eastAsia" w:ascii="仿宋_GB2312" w:hAnsi="仿宋_GB2312" w:eastAsia="仿宋_GB2312" w:cs="仿宋_GB2312"/>
          <w:b/>
          <w:bCs/>
          <w:color w:val="auto"/>
          <w:sz w:val="32"/>
          <w:szCs w:val="32"/>
          <w:lang w:val="en-US" w:eastAsia="zh-CN"/>
        </w:rPr>
        <w:t>三、执行标准及规范</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《MT/T 1110—2011矿用封孔器通用技术条件》及其它关于产品质量、安全的其他相关标准及规范。</w:t>
      </w:r>
    </w:p>
    <w:p>
      <w:pPr>
        <w:pStyle w:val="2"/>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auto"/>
        <w:rPr>
          <w:rFonts w:hint="default" w:ascii="仿宋_GB2312" w:hAnsi="仿宋_GB2312" w:eastAsia="仿宋_GB2312" w:cs="仿宋_GB2312"/>
          <w:b/>
          <w:bCs/>
          <w:color w:val="FF0000"/>
          <w:sz w:val="32"/>
          <w:szCs w:val="32"/>
          <w:lang w:val="en-US" w:eastAsia="zh-CN"/>
        </w:rPr>
      </w:pPr>
      <w:r>
        <w:rPr>
          <w:rFonts w:hint="eastAsia" w:ascii="仿宋_GB2312" w:hAnsi="仿宋_GB2312" w:eastAsia="仿宋_GB2312" w:cs="仿宋_GB2312"/>
          <w:b/>
          <w:bCs/>
          <w:color w:val="auto"/>
          <w:sz w:val="32"/>
          <w:szCs w:val="32"/>
          <w:lang w:val="en-US" w:eastAsia="zh-CN"/>
        </w:rPr>
        <w:t>四、交货随行文件要求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1.全部配件的合格证、检测证书等证明材料。</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2.矿用封孔器用注浆管、注浆囊袋需提供第三方检测报告。</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3.外购件提供原产地证明文件、原产地出厂合格证。</w:t>
      </w:r>
    </w:p>
    <w:p>
      <w:pPr>
        <w:pStyle w:val="2"/>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五、质量保证要求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1.中标方承诺所供配件均为全新合格产品，符合本技术规格书及相关国家、行业标准要求。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2.除国家另有专门规定、招标文件有特殊要求或投标方有优惠条件外，配件实行质量“三包”，质保期为12个月（自验收合格之日起计算）。</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3.质保期内若出现质量问题，中标方需免费提供更换服务，确保不影响使用。</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4.中标方需提供履约保证，确保质量承诺落实。</w:t>
      </w:r>
    </w:p>
    <w:p>
      <w:pPr>
        <w:pStyle w:val="2"/>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六、售后服务要求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除国家另有专门规定、招标文件有特殊要求或投标方有优惠条件外，按GB/T 16784-2025工业产品售后服务总则执行，12个月内实行质量“三包”。质保期内若出现质量问题，中标方应在接到通知后的24小时内到达现场处理并提供解决方案。</w:t>
      </w:r>
    </w:p>
    <w:p>
      <w:pPr>
        <w:pStyle w:val="2"/>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七、交货验收要求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1.验收标准：符合《MT/T 1110-2011矿用封孔器通用技术条件》、本技术规格书及相关国家、行业标准要求。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2.验收地点：交货地点。</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3.验收时间：按小型设备要求，交货后2日内办理验收手续。</w:t>
      </w:r>
      <w:bookmarkStart w:id="0" w:name="_GoBack"/>
      <w:bookmarkEnd w:id="0"/>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4.验收方式</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4.1外观检查：核查配件外观是否符合无油污、无损坏、无妨碍使用缺陷的要求。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4.2尺寸测量：随机抽取样品，检测关键尺寸是否符合技术参数要求。</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4.3资料核查：核对交货随行文件是否齐全、有效。</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4.4性能抽检：必要时委托第三方检测机构对关键性能指标（如抗压强度、爆破压力、阻燃抗静电性能等）进行检测。</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pPr>
      <w:r>
        <w:rPr>
          <w:rFonts w:hint="eastAsia" w:ascii="仿宋_GB2312" w:hAnsi="仿宋_GB2312" w:eastAsia="仿宋_GB2312" w:cs="仿宋_GB2312"/>
          <w:b w:val="0"/>
          <w:bCs w:val="0"/>
          <w:color w:val="auto"/>
          <w:sz w:val="32"/>
          <w:szCs w:val="32"/>
          <w:lang w:val="en-US" w:eastAsia="zh-CN"/>
        </w:rPr>
        <w:t>5.验收报告形式：验收合格后，由双方签字确认《货物验收报告》，作为结算依据；验收不合格的，中标方需在规定时间内更换或补货，直至验收合格。</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4061B3"/>
    <w:multiLevelType w:val="singleLevel"/>
    <w:tmpl w:val="764061B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D12663"/>
    <w:rsid w:val="02997A01"/>
    <w:rsid w:val="02D12663"/>
    <w:rsid w:val="0911245E"/>
    <w:rsid w:val="1C3D5072"/>
    <w:rsid w:val="1CEA46A0"/>
    <w:rsid w:val="223B31BA"/>
    <w:rsid w:val="35BA2761"/>
    <w:rsid w:val="3BFC12F7"/>
    <w:rsid w:val="3F4B73C8"/>
    <w:rsid w:val="41D659E7"/>
    <w:rsid w:val="44BE7E56"/>
    <w:rsid w:val="4CD8722A"/>
    <w:rsid w:val="4DB55181"/>
    <w:rsid w:val="54C05F9B"/>
    <w:rsid w:val="5B7756EE"/>
    <w:rsid w:val="5D0E6EFA"/>
    <w:rsid w:val="64286DC8"/>
    <w:rsid w:val="7CD56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幼圆" w:hAnsi="Times New Roman" w:eastAsia="幼圆" w:cs="幼圆"/>
      <w:color w:val="000000"/>
      <w:sz w:val="24"/>
      <w:szCs w:val="24"/>
      <w:lang w:val="en-US" w:eastAsia="zh-CN" w:bidi="ar-SA"/>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ntractReview xmlns="http://schemas.wps.cn/vas-ai-hub/contract-review">
  <reviewItems>
    <reviewItem>
      <errorID>877d5e88-aea8-4859-9c26-61cc37db6417</errorID>
      <errorWord>火焰燃烧</errorWord>
      <group>L1_Knowledge</group>
      <groupName>知识性问题</groupName>
      <ability>L2_Term</ability>
      <abilityName>专业术语</abilityName>
      <candidateList>
        <item>无焰燃烧</item>
      </candidateList>
      <explain/>
      <paraID>46AC6C94</paraID>
      <start>12</start>
      <end>16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dc4b8d-5e1a-4b63-ac3a-92648ff8c9a2}">
  <ds:schemaRefs/>
</ds:datastoreItem>
</file>

<file path=docProps/app.xml><?xml version="1.0" encoding="utf-8"?>
<Properties xmlns="http://schemas.openxmlformats.org/officeDocument/2006/extended-properties" xmlns:vt="http://schemas.openxmlformats.org/officeDocument/2006/docPropsVTypes">
  <Template>Normal.dotm</Template>
  <Pages>5</Pages>
  <Words>1448</Words>
  <Characters>1671</Characters>
  <Lines>0</Lines>
  <Paragraphs>0</Paragraphs>
  <TotalTime>3</TotalTime>
  <ScaleCrop>false</ScaleCrop>
  <LinksUpToDate>false</LinksUpToDate>
  <CharactersWithSpaces>1727</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2025-09-15T10:25:00Z</dcterms:created>
  <dc:creator>飞飞</dc:creator>
  <cp:lastModifiedBy>黄邵颖</cp:lastModifiedBy>
  <dcterms:modified xsi:type="dcterms:W3CDTF">2026-02-03T01:21:13Z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16CBA14D571F4AACA58FDCD6182667F8_13</vt:lpwstr>
  </property>
  <property fmtid="{D5CDD505-2E9C-101B-9397-08002B2CF9AE}" pid="4" name="KSOTemplateDocerSaveRecord">
    <vt:lpwstr>eyJoZGlkIjoiMzdjNDJmMWUwZThmM2I0NGE0YmNmYTVhMGEzMGYzMTkiLCJ1c2VySWQiOiIyODg3ODYzNTAifQ==</vt:lpwstr>
  </property>
</Properties>
</file>