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B5ECA4">
      <w:pPr>
        <w:rPr>
          <w:rFonts w:hint="eastAsia" w:asciiTheme="minorEastAsia" w:hAnsiTheme="minorEastAsia" w:cstheme="minorEastAsia"/>
          <w:lang w:val="en-US"/>
        </w:rPr>
      </w:pPr>
    </w:p>
    <w:p w14:paraId="7B2653FF">
      <w:pPr>
        <w:jc w:val="center"/>
        <w:rPr>
          <w:rFonts w:hint="eastAsia" w:asciiTheme="minorEastAsia" w:hAnsiTheme="minorEastAsia" w:cstheme="minorEastAsia"/>
          <w:b/>
          <w:color w:val="000000" w:themeColor="text1"/>
          <w:sz w:val="42"/>
          <w:szCs w:val="42"/>
          <w:lang w:val="en-US"/>
          <w14:textFill>
            <w14:solidFill>
              <w14:schemeClr w14:val="tx1"/>
            </w14:solidFill>
          </w14:textFill>
        </w:rPr>
      </w:pPr>
      <w:r>
        <w:rPr>
          <w:rFonts w:hint="eastAsia" w:asciiTheme="minorEastAsia" w:hAnsiTheme="minorEastAsia" w:cstheme="minorEastAsia"/>
          <w:b/>
          <w:color w:val="000000" w:themeColor="text1"/>
          <w:sz w:val="42"/>
          <w:szCs w:val="42"/>
          <w:lang w:val="en-US"/>
          <w14:textFill>
            <w14:solidFill>
              <w14:schemeClr w14:val="tx1"/>
            </w14:solidFill>
          </w14:textFill>
        </w:rPr>
        <w:t>淮北矿业（集团）工程建设有限责任公司</w:t>
      </w:r>
    </w:p>
    <w:p w14:paraId="00C5210B">
      <w:pPr>
        <w:jc w:val="center"/>
        <w:rPr>
          <w:rFonts w:hint="eastAsia" w:asciiTheme="minorEastAsia" w:hAnsiTheme="minorEastAsia" w:cstheme="minorEastAsia"/>
          <w:b/>
          <w:color w:val="000000" w:themeColor="text1"/>
          <w:sz w:val="42"/>
          <w:szCs w:val="42"/>
          <w:lang w:val="en-US"/>
          <w14:textFill>
            <w14:solidFill>
              <w14:schemeClr w14:val="tx1"/>
            </w14:solidFill>
          </w14:textFill>
        </w:rPr>
      </w:pPr>
      <w:r>
        <w:rPr>
          <w:rFonts w:hint="eastAsia" w:asciiTheme="minorEastAsia" w:hAnsiTheme="minorEastAsia" w:cstheme="minorEastAsia"/>
          <w:b/>
          <w:color w:val="000000" w:themeColor="text1"/>
          <w:sz w:val="42"/>
          <w:szCs w:val="42"/>
          <w:lang w:val="en-US"/>
          <w14:textFill>
            <w14:solidFill>
              <w14:schemeClr w14:val="tx1"/>
            </w14:solidFill>
          </w14:textFill>
        </w:rPr>
        <w:t>淮北高新区陶铝新材料产业园项目设计施工总承包</w:t>
      </w:r>
    </w:p>
    <w:p w14:paraId="6B60D2FD">
      <w:pPr>
        <w:jc w:val="center"/>
        <w:rPr>
          <w:rFonts w:hint="default" w:eastAsiaTheme="minorEastAsia"/>
          <w:lang w:val="en-US" w:eastAsia="zh-CN"/>
        </w:rPr>
      </w:pPr>
      <w:r>
        <w:rPr>
          <w:rFonts w:hint="eastAsia" w:asciiTheme="minorEastAsia" w:hAnsiTheme="minorEastAsia" w:cstheme="minorEastAsia"/>
          <w:b/>
          <w:color w:val="000000" w:themeColor="text1"/>
          <w:sz w:val="42"/>
          <w:szCs w:val="42"/>
          <w:lang w:val="en-US"/>
          <w14:textFill>
            <w14:solidFill>
              <w14:schemeClr w14:val="tx1"/>
            </w14:solidFill>
          </w14:textFill>
        </w:rPr>
        <w:t>冉邦地块北区—电梯询比采购</w:t>
      </w:r>
      <w:r>
        <w:rPr>
          <w:rFonts w:hint="eastAsia" w:asciiTheme="minorEastAsia" w:hAnsiTheme="minorEastAsia" w:cstheme="minorEastAsia"/>
          <w:b/>
          <w:color w:val="000000" w:themeColor="text1"/>
          <w:sz w:val="42"/>
          <w:szCs w:val="42"/>
          <w:lang w:val="en-US" w:eastAsia="zh-CN"/>
          <w14:textFill>
            <w14:solidFill>
              <w14:schemeClr w14:val="tx1"/>
            </w14:solidFill>
          </w14:textFill>
        </w:rPr>
        <w:t>（二次）</w:t>
      </w:r>
    </w:p>
    <w:p w14:paraId="31B30E50">
      <w:pPr>
        <w:rPr>
          <w:rFonts w:hint="eastAsia" w:asciiTheme="minorEastAsia" w:hAnsiTheme="minorEastAsia" w:cstheme="minorEastAsia"/>
          <w:color w:val="000000" w:themeColor="text1"/>
          <w:lang w:val="en-US"/>
          <w14:textFill>
            <w14:solidFill>
              <w14:schemeClr w14:val="tx1"/>
            </w14:solidFill>
          </w14:textFill>
        </w:rPr>
      </w:pPr>
    </w:p>
    <w:p w14:paraId="0EDAFDF2">
      <w:pPr>
        <w:pStyle w:val="13"/>
        <w:spacing w:line="560" w:lineRule="exact"/>
        <w:jc w:val="center"/>
        <w:rPr>
          <w:rFonts w:hint="eastAsia" w:asciiTheme="minorEastAsia" w:hAnsiTheme="minorEastAsia" w:cstheme="minorEastAsia"/>
          <w:b/>
          <w:color w:val="000000" w:themeColor="text1"/>
          <w:sz w:val="48"/>
          <w:szCs w:val="48"/>
          <w:lang w:val="en-US"/>
          <w14:textFill>
            <w14:solidFill>
              <w14:schemeClr w14:val="tx1"/>
            </w14:solidFill>
          </w14:textFill>
        </w:rPr>
      </w:pPr>
      <w:r>
        <w:rPr>
          <w:rFonts w:hint="eastAsia" w:asciiTheme="minorEastAsia" w:hAnsiTheme="minorEastAsia" w:cstheme="minorEastAsia"/>
          <w:b/>
          <w:color w:val="000000" w:themeColor="text1"/>
          <w:sz w:val="48"/>
          <w:szCs w:val="48"/>
          <w:lang w:val="en-US"/>
          <w14:textFill>
            <w14:solidFill>
              <w14:schemeClr w14:val="tx1"/>
            </w14:solidFill>
          </w14:textFill>
        </w:rPr>
        <w:t>询</w:t>
      </w:r>
    </w:p>
    <w:p w14:paraId="68A60A0D">
      <w:pPr>
        <w:pStyle w:val="13"/>
        <w:spacing w:line="560" w:lineRule="exact"/>
        <w:jc w:val="center"/>
        <w:rPr>
          <w:rFonts w:hint="eastAsia" w:asciiTheme="minorEastAsia" w:hAnsiTheme="minorEastAsia" w:cstheme="minorEastAsia"/>
          <w:b/>
          <w:color w:val="000000" w:themeColor="text1"/>
          <w:sz w:val="48"/>
          <w:szCs w:val="48"/>
          <w:lang w:val="en-US"/>
          <w14:textFill>
            <w14:solidFill>
              <w14:schemeClr w14:val="tx1"/>
            </w14:solidFill>
          </w14:textFill>
        </w:rPr>
      </w:pPr>
      <w:r>
        <w:rPr>
          <w:rFonts w:hint="eastAsia" w:asciiTheme="minorEastAsia" w:hAnsiTheme="minorEastAsia" w:cstheme="minorEastAsia"/>
          <w:b/>
          <w:color w:val="000000" w:themeColor="text1"/>
          <w:sz w:val="48"/>
          <w:szCs w:val="48"/>
          <w:lang w:val="en-US"/>
          <w14:textFill>
            <w14:solidFill>
              <w14:schemeClr w14:val="tx1"/>
            </w14:solidFill>
          </w14:textFill>
        </w:rPr>
        <w:t>比</w:t>
      </w:r>
    </w:p>
    <w:p w14:paraId="1FFED832">
      <w:pPr>
        <w:pStyle w:val="13"/>
        <w:spacing w:line="560" w:lineRule="exact"/>
        <w:jc w:val="center"/>
        <w:rPr>
          <w:rFonts w:hint="eastAsia" w:asciiTheme="minorEastAsia" w:hAnsiTheme="minorEastAsia" w:cstheme="minorEastAsia"/>
          <w:b/>
          <w:color w:val="000000" w:themeColor="text1"/>
          <w:sz w:val="48"/>
          <w:szCs w:val="48"/>
          <w:lang w:val="en-US"/>
          <w14:textFill>
            <w14:solidFill>
              <w14:schemeClr w14:val="tx1"/>
            </w14:solidFill>
          </w14:textFill>
        </w:rPr>
      </w:pPr>
      <w:r>
        <w:rPr>
          <w:rFonts w:hint="eastAsia" w:asciiTheme="minorEastAsia" w:hAnsiTheme="minorEastAsia" w:cstheme="minorEastAsia"/>
          <w:b/>
          <w:color w:val="000000" w:themeColor="text1"/>
          <w:sz w:val="48"/>
          <w:szCs w:val="48"/>
          <w:lang w:val="en-US"/>
          <w14:textFill>
            <w14:solidFill>
              <w14:schemeClr w14:val="tx1"/>
            </w14:solidFill>
          </w14:textFill>
        </w:rPr>
        <w:t>采</w:t>
      </w:r>
    </w:p>
    <w:p w14:paraId="0A0C56FC">
      <w:pPr>
        <w:pStyle w:val="13"/>
        <w:spacing w:line="560" w:lineRule="exact"/>
        <w:jc w:val="center"/>
        <w:rPr>
          <w:rFonts w:hint="eastAsia" w:asciiTheme="minorEastAsia" w:hAnsiTheme="minorEastAsia" w:cstheme="minorEastAsia"/>
          <w:b/>
          <w:color w:val="000000" w:themeColor="text1"/>
          <w:sz w:val="48"/>
          <w:szCs w:val="48"/>
          <w:lang w:val="en-US"/>
          <w14:textFill>
            <w14:solidFill>
              <w14:schemeClr w14:val="tx1"/>
            </w14:solidFill>
          </w14:textFill>
        </w:rPr>
      </w:pPr>
      <w:r>
        <w:rPr>
          <w:rFonts w:hint="eastAsia" w:asciiTheme="minorEastAsia" w:hAnsiTheme="minorEastAsia" w:cstheme="minorEastAsia"/>
          <w:b/>
          <w:color w:val="000000" w:themeColor="text1"/>
          <w:sz w:val="48"/>
          <w:szCs w:val="48"/>
          <w:lang w:val="en-US"/>
          <w14:textFill>
            <w14:solidFill>
              <w14:schemeClr w14:val="tx1"/>
            </w14:solidFill>
          </w14:textFill>
        </w:rPr>
        <w:t>购</w:t>
      </w:r>
    </w:p>
    <w:p w14:paraId="7EC1F33D">
      <w:pPr>
        <w:pStyle w:val="13"/>
        <w:spacing w:line="560" w:lineRule="exact"/>
        <w:jc w:val="center"/>
        <w:rPr>
          <w:rFonts w:hint="eastAsia" w:asciiTheme="minorEastAsia" w:hAnsiTheme="minorEastAsia" w:cstheme="minorEastAsia"/>
          <w:b/>
          <w:color w:val="000000" w:themeColor="text1"/>
          <w:sz w:val="48"/>
          <w:szCs w:val="48"/>
          <w:lang w:val="en-US"/>
          <w14:textFill>
            <w14:solidFill>
              <w14:schemeClr w14:val="tx1"/>
            </w14:solidFill>
          </w14:textFill>
        </w:rPr>
      </w:pPr>
      <w:r>
        <w:rPr>
          <w:rFonts w:hint="eastAsia" w:asciiTheme="minorEastAsia" w:hAnsiTheme="minorEastAsia" w:cstheme="minorEastAsia"/>
          <w:b/>
          <w:color w:val="000000" w:themeColor="text1"/>
          <w:sz w:val="48"/>
          <w:szCs w:val="48"/>
          <w:lang w:val="en-US"/>
          <w14:textFill>
            <w14:solidFill>
              <w14:schemeClr w14:val="tx1"/>
            </w14:solidFill>
          </w14:textFill>
        </w:rPr>
        <w:t>文</w:t>
      </w:r>
    </w:p>
    <w:p w14:paraId="7EABBEAA">
      <w:pPr>
        <w:pStyle w:val="13"/>
        <w:spacing w:line="560" w:lineRule="exact"/>
        <w:jc w:val="center"/>
        <w:rPr>
          <w:rFonts w:hint="eastAsia" w:asciiTheme="minorEastAsia" w:hAnsiTheme="minorEastAsia" w:cstheme="minorEastAsia"/>
          <w:b/>
          <w:color w:val="000000" w:themeColor="text1"/>
          <w:sz w:val="48"/>
          <w:szCs w:val="48"/>
          <w:lang w:val="en-US"/>
          <w14:textFill>
            <w14:solidFill>
              <w14:schemeClr w14:val="tx1"/>
            </w14:solidFill>
          </w14:textFill>
        </w:rPr>
      </w:pPr>
      <w:r>
        <w:rPr>
          <w:rFonts w:hint="eastAsia" w:asciiTheme="minorEastAsia" w:hAnsiTheme="minorEastAsia" w:cstheme="minorEastAsia"/>
          <w:b/>
          <w:color w:val="000000" w:themeColor="text1"/>
          <w:sz w:val="48"/>
          <w:szCs w:val="48"/>
          <w:lang w:val="en-US"/>
          <w14:textFill>
            <w14:solidFill>
              <w14:schemeClr w14:val="tx1"/>
            </w14:solidFill>
          </w14:textFill>
        </w:rPr>
        <w:t>件</w:t>
      </w:r>
    </w:p>
    <w:p w14:paraId="20214930">
      <w:pPr>
        <w:rPr>
          <w:rFonts w:hint="eastAsia" w:asciiTheme="minorEastAsia" w:hAnsiTheme="minorEastAsia" w:cstheme="minorEastAsia"/>
          <w:color w:val="000000" w:themeColor="text1"/>
          <w14:textFill>
            <w14:solidFill>
              <w14:schemeClr w14:val="tx1"/>
            </w14:solidFill>
          </w14:textFill>
        </w:rPr>
      </w:pPr>
    </w:p>
    <w:p w14:paraId="76DAB118">
      <w:pPr>
        <w:rPr>
          <w:rFonts w:hint="eastAsia" w:asciiTheme="minorEastAsia" w:hAnsiTheme="minorEastAsia" w:cstheme="minorEastAsia"/>
          <w:color w:val="000000" w:themeColor="text1"/>
          <w14:textFill>
            <w14:solidFill>
              <w14:schemeClr w14:val="tx1"/>
            </w14:solidFill>
          </w14:textFill>
        </w:rPr>
      </w:pPr>
    </w:p>
    <w:p w14:paraId="0C995E8D">
      <w:pPr>
        <w:rPr>
          <w:rFonts w:hint="eastAsia" w:asciiTheme="minorEastAsia" w:hAnsiTheme="minorEastAsia" w:cstheme="minorEastAsia"/>
          <w:color w:val="000000" w:themeColor="text1"/>
          <w14:textFill>
            <w14:solidFill>
              <w14:schemeClr w14:val="tx1"/>
            </w14:solidFill>
          </w14:textFill>
        </w:rPr>
      </w:pPr>
    </w:p>
    <w:p w14:paraId="34774AF3">
      <w:pPr>
        <w:pStyle w:val="13"/>
        <w:spacing w:before="0" w:after="0" w:line="560" w:lineRule="exact"/>
        <w:jc w:val="center"/>
        <w:rPr>
          <w:rFonts w:hint="eastAsia" w:asciiTheme="minorEastAsia" w:hAnsiTheme="minorEastAsia" w:cstheme="minorEastAsia"/>
          <w:b/>
          <w:color w:val="000000" w:themeColor="text1"/>
          <w:sz w:val="30"/>
          <w:szCs w:val="30"/>
          <w:lang w:val="en-US"/>
          <w14:textFill>
            <w14:solidFill>
              <w14:schemeClr w14:val="tx1"/>
            </w14:solidFill>
          </w14:textFill>
        </w:rPr>
      </w:pPr>
    </w:p>
    <w:p w14:paraId="56560F67">
      <w:pPr>
        <w:pStyle w:val="13"/>
        <w:spacing w:before="0" w:after="0" w:line="560" w:lineRule="exact"/>
        <w:jc w:val="center"/>
        <w:rPr>
          <w:rFonts w:hint="eastAsia" w:asciiTheme="minorEastAsia" w:hAnsiTheme="minorEastAsia" w:cstheme="minorEastAsia"/>
          <w:b/>
          <w:color w:val="000000" w:themeColor="text1"/>
          <w:sz w:val="30"/>
          <w:szCs w:val="30"/>
          <w:lang w:val="en-US"/>
          <w14:textFill>
            <w14:solidFill>
              <w14:schemeClr w14:val="tx1"/>
            </w14:solidFill>
          </w14:textFill>
        </w:rPr>
      </w:pPr>
    </w:p>
    <w:p w14:paraId="1D27A4EF">
      <w:pPr>
        <w:pStyle w:val="13"/>
        <w:spacing w:before="0" w:after="0" w:line="560" w:lineRule="exact"/>
        <w:jc w:val="center"/>
        <w:rPr>
          <w:rFonts w:hint="eastAsia" w:asciiTheme="minorEastAsia" w:hAnsiTheme="minorEastAsia" w:cstheme="minorEastAsia"/>
          <w:b/>
          <w:color w:val="000000" w:themeColor="text1"/>
          <w:sz w:val="30"/>
          <w:szCs w:val="30"/>
          <w:lang w:val="en-US"/>
          <w14:textFill>
            <w14:solidFill>
              <w14:schemeClr w14:val="tx1"/>
            </w14:solidFill>
          </w14:textFill>
        </w:rPr>
      </w:pPr>
      <w:r>
        <w:rPr>
          <w:rFonts w:hint="eastAsia" w:asciiTheme="minorEastAsia" w:hAnsiTheme="minorEastAsia" w:cstheme="minorEastAsia"/>
          <w:b/>
          <w:color w:val="000000" w:themeColor="text1"/>
          <w:sz w:val="30"/>
          <w:szCs w:val="30"/>
          <w:lang w:val="en-US"/>
          <w14:textFill>
            <w14:solidFill>
              <w14:schemeClr w14:val="tx1"/>
            </w14:solidFill>
          </w14:textFill>
        </w:rPr>
        <w:t>采购人：</w:t>
      </w:r>
      <w:r>
        <w:rPr>
          <w:rFonts w:hint="eastAsia" w:asciiTheme="minorEastAsia" w:hAnsiTheme="minorEastAsia" w:cstheme="minorEastAsia"/>
          <w:b/>
          <w:color w:val="000000" w:themeColor="text1"/>
          <w:sz w:val="30"/>
          <w:szCs w:val="30"/>
          <w:u w:val="single"/>
          <w14:textFill>
            <w14:solidFill>
              <w14:schemeClr w14:val="tx1"/>
            </w14:solidFill>
          </w14:textFill>
        </w:rPr>
        <w:t>淮北矿业（集团）工程建设有限责任公司</w:t>
      </w:r>
    </w:p>
    <w:p w14:paraId="07DA6E4A">
      <w:pPr>
        <w:spacing w:before="0" w:after="0" w:line="560" w:lineRule="exact"/>
        <w:jc w:val="center"/>
        <w:rPr>
          <w:rFonts w:hint="eastAsia" w:asciiTheme="minorEastAsia" w:hAnsiTheme="minorEastAsia" w:cstheme="minorEastAsia"/>
          <w:b/>
          <w:color w:val="000000" w:themeColor="text1"/>
          <w:sz w:val="30"/>
          <w:szCs w:val="30"/>
          <w14:textFill>
            <w14:solidFill>
              <w14:schemeClr w14:val="tx1"/>
            </w14:solidFill>
          </w14:textFill>
        </w:rPr>
      </w:pPr>
    </w:p>
    <w:p w14:paraId="23F3CA29">
      <w:pPr>
        <w:spacing w:before="0" w:after="0" w:line="560" w:lineRule="exact"/>
        <w:jc w:val="center"/>
        <w:rPr>
          <w:rFonts w:hint="eastAsia" w:asciiTheme="minorEastAsia" w:hAnsiTheme="minorEastAsia" w:cstheme="minorEastAsia"/>
          <w:b/>
          <w:color w:val="000000" w:themeColor="text1"/>
          <w:sz w:val="30"/>
          <w:szCs w:val="30"/>
          <w14:textFill>
            <w14:solidFill>
              <w14:schemeClr w14:val="tx1"/>
            </w14:solidFill>
          </w14:textFill>
        </w:rPr>
      </w:pPr>
      <w:r>
        <w:rPr>
          <w:rFonts w:hint="eastAsia" w:asciiTheme="minorEastAsia" w:hAnsiTheme="minorEastAsia" w:cstheme="minorEastAsia"/>
          <w:b/>
          <w:color w:val="000000" w:themeColor="text1"/>
          <w:sz w:val="30"/>
          <w:szCs w:val="30"/>
          <w14:textFill>
            <w14:solidFill>
              <w14:schemeClr w14:val="tx1"/>
            </w14:solidFill>
          </w14:textFill>
        </w:rPr>
        <w:t>二〇二</w:t>
      </w:r>
      <w:r>
        <w:rPr>
          <w:rFonts w:hint="eastAsia" w:asciiTheme="minorEastAsia" w:hAnsiTheme="minorEastAsia" w:cstheme="minorEastAsia"/>
          <w:b/>
          <w:color w:val="000000" w:themeColor="text1"/>
          <w:sz w:val="30"/>
          <w:szCs w:val="30"/>
          <w:lang w:val="en-US"/>
          <w14:textFill>
            <w14:solidFill>
              <w14:schemeClr w14:val="tx1"/>
            </w14:solidFill>
          </w14:textFill>
        </w:rPr>
        <w:t>六</w:t>
      </w:r>
      <w:r>
        <w:rPr>
          <w:rFonts w:hint="eastAsia" w:asciiTheme="minorEastAsia" w:hAnsiTheme="minorEastAsia" w:cstheme="minorEastAsia"/>
          <w:b/>
          <w:color w:val="000000" w:themeColor="text1"/>
          <w:sz w:val="30"/>
          <w:szCs w:val="30"/>
          <w14:textFill>
            <w14:solidFill>
              <w14:schemeClr w14:val="tx1"/>
            </w14:solidFill>
          </w14:textFill>
        </w:rPr>
        <w:t>年</w:t>
      </w:r>
      <w:r>
        <w:rPr>
          <w:rFonts w:hint="eastAsia" w:asciiTheme="minorEastAsia" w:hAnsiTheme="minorEastAsia" w:cstheme="minorEastAsia"/>
          <w:b/>
          <w:color w:val="000000" w:themeColor="text1"/>
          <w:sz w:val="30"/>
          <w:szCs w:val="30"/>
          <w:lang w:val="en-US" w:eastAsia="zh-CN"/>
          <w14:textFill>
            <w14:solidFill>
              <w14:schemeClr w14:val="tx1"/>
            </w14:solidFill>
          </w14:textFill>
        </w:rPr>
        <w:t>七</w:t>
      </w:r>
      <w:r>
        <w:rPr>
          <w:rFonts w:hint="eastAsia" w:asciiTheme="minorEastAsia" w:hAnsiTheme="minorEastAsia" w:cstheme="minorEastAsia"/>
          <w:b/>
          <w:color w:val="000000" w:themeColor="text1"/>
          <w:sz w:val="30"/>
          <w:szCs w:val="30"/>
          <w14:textFill>
            <w14:solidFill>
              <w14:schemeClr w14:val="tx1"/>
            </w14:solidFill>
          </w14:textFill>
        </w:rPr>
        <w:t>月</w:t>
      </w:r>
    </w:p>
    <w:p w14:paraId="70D2E4F0">
      <w:pPr>
        <w:spacing w:before="0" w:after="0" w:line="560" w:lineRule="exact"/>
        <w:jc w:val="center"/>
        <w:rPr>
          <w:rFonts w:hint="eastAsia" w:asciiTheme="minorEastAsia" w:hAnsiTheme="minorEastAsia" w:cstheme="minorEastAsia"/>
          <w:b/>
          <w:color w:val="000000" w:themeColor="text1"/>
          <w:sz w:val="30"/>
          <w:szCs w:val="30"/>
          <w14:textFill>
            <w14:solidFill>
              <w14:schemeClr w14:val="tx1"/>
            </w14:solidFill>
          </w14:textFill>
        </w:rPr>
      </w:pPr>
    </w:p>
    <w:p w14:paraId="33412663">
      <w:pPr>
        <w:jc w:val="center"/>
        <w:rPr>
          <w:rFonts w:hint="eastAsia"/>
          <w:b/>
          <w:bCs/>
          <w:color w:val="auto"/>
          <w:sz w:val="28"/>
          <w:szCs w:val="28"/>
          <w:lang w:val="en-US" w:eastAsia="zh-CN"/>
        </w:rPr>
      </w:pPr>
      <w:r>
        <w:rPr>
          <w:rFonts w:hint="eastAsia"/>
          <w:b/>
          <w:bCs/>
          <w:color w:val="auto"/>
          <w:sz w:val="28"/>
          <w:szCs w:val="28"/>
          <w:lang w:val="en-US" w:eastAsia="zh-CN"/>
        </w:rPr>
        <w:t>关于采购方式及术语使用的说明</w:t>
      </w:r>
    </w:p>
    <w:p w14:paraId="3CF3C622">
      <w:pPr>
        <w:keepNext w:val="0"/>
        <w:keepLines w:val="0"/>
        <w:pageBreakBefore w:val="0"/>
        <w:widowControl w:val="0"/>
        <w:kinsoku/>
        <w:wordWrap/>
        <w:overflowPunct/>
        <w:topLinePunct w:val="0"/>
        <w:autoSpaceDE/>
        <w:autoSpaceDN/>
        <w:bidi w:val="0"/>
        <w:adjustRightInd/>
        <w:snapToGrid/>
        <w:spacing w:before="0" w:after="0"/>
        <w:ind w:firstLine="560" w:firstLineChars="200"/>
        <w:jc w:val="left"/>
        <w:textAlignment w:val="auto"/>
        <w:rPr>
          <w:rFonts w:hint="eastAsia"/>
          <w:color w:val="auto"/>
          <w:sz w:val="28"/>
          <w:szCs w:val="28"/>
        </w:rPr>
      </w:pPr>
      <w:r>
        <w:rPr>
          <w:rFonts w:hint="eastAsia"/>
          <w:color w:val="auto"/>
          <w:sz w:val="28"/>
          <w:szCs w:val="28"/>
        </w:rPr>
        <w:t>本项目采用询</w:t>
      </w:r>
      <w:r>
        <w:rPr>
          <w:rFonts w:hint="eastAsia"/>
          <w:color w:val="auto"/>
          <w:sz w:val="28"/>
          <w:szCs w:val="28"/>
          <w:lang w:val="en-US" w:eastAsia="zh-CN"/>
        </w:rPr>
        <w:t>比</w:t>
      </w:r>
      <w:r>
        <w:rPr>
          <w:rFonts w:hint="eastAsia"/>
          <w:color w:val="auto"/>
          <w:sz w:val="28"/>
          <w:szCs w:val="28"/>
        </w:rPr>
        <w:t>采购进行采购</w:t>
      </w:r>
      <w:r>
        <w:rPr>
          <w:rFonts w:hint="eastAsia"/>
          <w:color w:val="auto"/>
          <w:sz w:val="28"/>
          <w:szCs w:val="28"/>
          <w:lang w:eastAsia="zh-CN"/>
        </w:rPr>
        <w:t>，</w:t>
      </w:r>
      <w:r>
        <w:rPr>
          <w:rFonts w:hint="eastAsia"/>
          <w:color w:val="auto"/>
          <w:sz w:val="28"/>
          <w:szCs w:val="28"/>
          <w:lang w:val="en-US" w:eastAsia="zh-CN"/>
        </w:rPr>
        <w:t>并</w:t>
      </w:r>
      <w:r>
        <w:rPr>
          <w:rFonts w:hint="eastAsia"/>
          <w:color w:val="auto"/>
          <w:sz w:val="28"/>
          <w:szCs w:val="28"/>
        </w:rPr>
        <w:t>非《中华人民共和国招标投标法》及其实施条例所规定的依法必须进行招标的项目。</w:t>
      </w:r>
    </w:p>
    <w:p w14:paraId="44ECC5C4">
      <w:pPr>
        <w:keepNext w:val="0"/>
        <w:keepLines w:val="0"/>
        <w:pageBreakBefore w:val="0"/>
        <w:widowControl w:val="0"/>
        <w:kinsoku/>
        <w:wordWrap/>
        <w:overflowPunct/>
        <w:topLinePunct w:val="0"/>
        <w:autoSpaceDE/>
        <w:autoSpaceDN/>
        <w:bidi w:val="0"/>
        <w:adjustRightInd/>
        <w:snapToGrid/>
        <w:spacing w:before="0" w:after="0"/>
        <w:ind w:firstLine="560" w:firstLineChars="200"/>
        <w:jc w:val="left"/>
        <w:textAlignment w:val="auto"/>
        <w:rPr>
          <w:rFonts w:hint="eastAsia"/>
          <w:color w:val="auto"/>
          <w:sz w:val="28"/>
          <w:szCs w:val="28"/>
        </w:rPr>
      </w:pPr>
      <w:r>
        <w:rPr>
          <w:rFonts w:hint="eastAsia"/>
          <w:color w:val="auto"/>
          <w:sz w:val="28"/>
          <w:szCs w:val="28"/>
        </w:rPr>
        <w:t>采购人/招标人：指组织本次采购活动的</w:t>
      </w:r>
      <w:r>
        <w:rPr>
          <w:rFonts w:hint="eastAsia"/>
          <w:color w:val="auto"/>
          <w:sz w:val="28"/>
          <w:szCs w:val="28"/>
          <w:lang w:val="en-US" w:eastAsia="zh-CN"/>
        </w:rPr>
        <w:t>采购单位</w:t>
      </w:r>
      <w:r>
        <w:rPr>
          <w:rFonts w:hint="eastAsia"/>
          <w:color w:val="auto"/>
          <w:sz w:val="28"/>
          <w:szCs w:val="28"/>
        </w:rPr>
        <w:t>。文件中出现的“招标人”即指采购人。</w:t>
      </w:r>
    </w:p>
    <w:p w14:paraId="7450D28A">
      <w:pPr>
        <w:keepNext w:val="0"/>
        <w:keepLines w:val="0"/>
        <w:pageBreakBefore w:val="0"/>
        <w:widowControl w:val="0"/>
        <w:kinsoku/>
        <w:wordWrap/>
        <w:overflowPunct/>
        <w:topLinePunct w:val="0"/>
        <w:autoSpaceDE/>
        <w:autoSpaceDN/>
        <w:bidi w:val="0"/>
        <w:adjustRightInd/>
        <w:snapToGrid/>
        <w:spacing w:before="0" w:after="0"/>
        <w:ind w:firstLine="560" w:firstLineChars="200"/>
        <w:jc w:val="left"/>
        <w:textAlignment w:val="auto"/>
        <w:rPr>
          <w:rFonts w:hint="eastAsia"/>
          <w:color w:val="auto"/>
          <w:sz w:val="28"/>
          <w:szCs w:val="28"/>
        </w:rPr>
      </w:pPr>
      <w:r>
        <w:rPr>
          <w:rFonts w:hint="eastAsia"/>
          <w:color w:val="auto"/>
          <w:sz w:val="28"/>
          <w:szCs w:val="28"/>
        </w:rPr>
        <w:t>响应</w:t>
      </w:r>
      <w:r>
        <w:rPr>
          <w:rFonts w:hint="eastAsia"/>
          <w:color w:val="auto"/>
          <w:sz w:val="28"/>
          <w:szCs w:val="28"/>
          <w:lang w:val="en-US" w:eastAsia="zh-CN"/>
        </w:rPr>
        <w:t>人</w:t>
      </w:r>
      <w:r>
        <w:rPr>
          <w:rFonts w:hint="eastAsia"/>
          <w:color w:val="auto"/>
          <w:sz w:val="28"/>
          <w:szCs w:val="28"/>
        </w:rPr>
        <w:t>/</w:t>
      </w:r>
      <w:r>
        <w:rPr>
          <w:rFonts w:hint="eastAsia"/>
          <w:color w:val="auto"/>
          <w:sz w:val="28"/>
          <w:szCs w:val="28"/>
          <w:lang w:val="en-US" w:eastAsia="zh-CN"/>
        </w:rPr>
        <w:t>报价人/供应商/</w:t>
      </w:r>
      <w:r>
        <w:rPr>
          <w:rFonts w:hint="eastAsia"/>
          <w:color w:val="auto"/>
          <w:sz w:val="28"/>
          <w:szCs w:val="28"/>
        </w:rPr>
        <w:t>投标人：指向采购人提交响应文件/报价文件的供应商。文件中出现的“投标人”即指响应</w:t>
      </w:r>
      <w:r>
        <w:rPr>
          <w:rFonts w:hint="eastAsia"/>
          <w:color w:val="auto"/>
          <w:sz w:val="28"/>
          <w:szCs w:val="28"/>
          <w:lang w:val="en-US" w:eastAsia="zh-CN"/>
        </w:rPr>
        <w:t>人</w:t>
      </w:r>
      <w:r>
        <w:rPr>
          <w:rFonts w:hint="eastAsia"/>
          <w:color w:val="auto"/>
          <w:sz w:val="28"/>
          <w:szCs w:val="28"/>
        </w:rPr>
        <w:t>。</w:t>
      </w:r>
    </w:p>
    <w:p w14:paraId="65595167">
      <w:pPr>
        <w:keepNext w:val="0"/>
        <w:keepLines w:val="0"/>
        <w:pageBreakBefore w:val="0"/>
        <w:widowControl w:val="0"/>
        <w:kinsoku/>
        <w:wordWrap/>
        <w:overflowPunct/>
        <w:topLinePunct w:val="0"/>
        <w:autoSpaceDE/>
        <w:autoSpaceDN/>
        <w:bidi w:val="0"/>
        <w:adjustRightInd/>
        <w:snapToGrid/>
        <w:spacing w:before="0" w:after="0"/>
        <w:ind w:firstLine="560" w:firstLineChars="200"/>
        <w:jc w:val="left"/>
        <w:textAlignment w:val="auto"/>
        <w:rPr>
          <w:rFonts w:hint="eastAsia"/>
          <w:color w:val="auto"/>
          <w:sz w:val="28"/>
          <w:szCs w:val="28"/>
        </w:rPr>
      </w:pPr>
      <w:r>
        <w:rPr>
          <w:rFonts w:hint="eastAsia"/>
          <w:color w:val="auto"/>
          <w:sz w:val="28"/>
          <w:szCs w:val="28"/>
        </w:rPr>
        <w:t>响应文件/投标文件：指响应供应商按照采购文件要求编制的文件。文件中出现的“投标文件”即指响应文件。</w:t>
      </w:r>
    </w:p>
    <w:p w14:paraId="66555FAE">
      <w:pPr>
        <w:keepNext w:val="0"/>
        <w:keepLines w:val="0"/>
        <w:pageBreakBefore w:val="0"/>
        <w:widowControl w:val="0"/>
        <w:kinsoku/>
        <w:wordWrap/>
        <w:overflowPunct/>
        <w:topLinePunct w:val="0"/>
        <w:autoSpaceDE/>
        <w:autoSpaceDN/>
        <w:bidi w:val="0"/>
        <w:adjustRightInd/>
        <w:snapToGrid/>
        <w:spacing w:before="0" w:after="0"/>
        <w:ind w:firstLine="560" w:firstLineChars="200"/>
        <w:jc w:val="left"/>
        <w:textAlignment w:val="auto"/>
        <w:rPr>
          <w:rFonts w:hint="eastAsia"/>
          <w:color w:val="auto"/>
          <w:sz w:val="28"/>
          <w:szCs w:val="28"/>
        </w:rPr>
      </w:pPr>
      <w:r>
        <w:rPr>
          <w:rFonts w:hint="eastAsia"/>
          <w:color w:val="auto"/>
          <w:sz w:val="28"/>
          <w:szCs w:val="28"/>
        </w:rPr>
        <w:t>成交</w:t>
      </w:r>
      <w:r>
        <w:rPr>
          <w:rFonts w:hint="eastAsia"/>
          <w:color w:val="auto"/>
          <w:sz w:val="28"/>
          <w:szCs w:val="28"/>
          <w:lang w:val="en-US" w:eastAsia="zh-CN"/>
        </w:rPr>
        <w:t>人</w:t>
      </w:r>
      <w:r>
        <w:rPr>
          <w:rFonts w:hint="eastAsia"/>
          <w:color w:val="auto"/>
          <w:sz w:val="28"/>
          <w:szCs w:val="28"/>
        </w:rPr>
        <w:t>/中标人：指经评审被确定为履行合同义务的供应商。文件中出现的“中标人”即指成交供应商。</w:t>
      </w:r>
    </w:p>
    <w:p w14:paraId="5D669E33">
      <w:pPr>
        <w:keepNext w:val="0"/>
        <w:keepLines w:val="0"/>
        <w:pageBreakBefore w:val="0"/>
        <w:widowControl w:val="0"/>
        <w:kinsoku/>
        <w:wordWrap/>
        <w:overflowPunct/>
        <w:topLinePunct w:val="0"/>
        <w:autoSpaceDE/>
        <w:autoSpaceDN/>
        <w:bidi w:val="0"/>
        <w:adjustRightInd/>
        <w:snapToGrid/>
        <w:spacing w:before="0" w:after="0"/>
        <w:ind w:firstLine="560" w:firstLineChars="200"/>
        <w:jc w:val="left"/>
        <w:textAlignment w:val="auto"/>
        <w:rPr>
          <w:rFonts w:hint="eastAsia"/>
          <w:color w:val="auto"/>
          <w:sz w:val="28"/>
          <w:szCs w:val="28"/>
        </w:rPr>
      </w:pPr>
      <w:r>
        <w:rPr>
          <w:rFonts w:hint="eastAsia"/>
          <w:color w:val="auto"/>
          <w:sz w:val="28"/>
          <w:szCs w:val="28"/>
        </w:rPr>
        <w:t>采购失败/流标：指本次采购活动未能成功确定成交供应商的情形。文件中出现的“流标”即指采购失败。</w:t>
      </w:r>
    </w:p>
    <w:p w14:paraId="69C18799">
      <w:pPr>
        <w:keepNext w:val="0"/>
        <w:keepLines w:val="0"/>
        <w:pageBreakBefore w:val="0"/>
        <w:widowControl w:val="0"/>
        <w:kinsoku/>
        <w:wordWrap/>
        <w:overflowPunct/>
        <w:topLinePunct w:val="0"/>
        <w:autoSpaceDE/>
        <w:autoSpaceDN/>
        <w:bidi w:val="0"/>
        <w:adjustRightInd/>
        <w:snapToGrid/>
        <w:spacing w:before="0" w:after="0"/>
        <w:ind w:firstLine="562" w:firstLineChars="200"/>
        <w:jc w:val="left"/>
        <w:textAlignment w:val="auto"/>
        <w:rPr>
          <w:rFonts w:hint="eastAsia" w:eastAsiaTheme="minorEastAsia"/>
          <w:color w:val="auto"/>
          <w:sz w:val="28"/>
          <w:szCs w:val="28"/>
          <w:lang w:eastAsia="zh-CN"/>
        </w:rPr>
      </w:pPr>
      <w:r>
        <w:rPr>
          <w:rFonts w:hint="eastAsia"/>
          <w:b/>
          <w:bCs/>
          <w:color w:val="auto"/>
          <w:sz w:val="28"/>
          <w:szCs w:val="28"/>
        </w:rPr>
        <w:t>特别说明</w:t>
      </w:r>
      <w:r>
        <w:rPr>
          <w:rFonts w:hint="eastAsia"/>
          <w:color w:val="auto"/>
          <w:sz w:val="28"/>
          <w:szCs w:val="28"/>
        </w:rPr>
        <w:t>：本文件中如出现“招标”、“投标”、“中标”、“流标”等词语，仅为表述</w:t>
      </w:r>
      <w:r>
        <w:rPr>
          <w:rFonts w:hint="eastAsia"/>
          <w:color w:val="auto"/>
          <w:sz w:val="28"/>
          <w:szCs w:val="28"/>
          <w:lang w:val="en-US" w:eastAsia="zh-CN"/>
        </w:rPr>
        <w:t>方便</w:t>
      </w:r>
      <w:r>
        <w:rPr>
          <w:rFonts w:hint="eastAsia"/>
          <w:color w:val="auto"/>
          <w:sz w:val="28"/>
          <w:szCs w:val="28"/>
        </w:rPr>
        <w:t>或沿用模板所致，其在本项目语境下应严格依据本</w:t>
      </w:r>
      <w:r>
        <w:rPr>
          <w:rFonts w:hint="eastAsia"/>
          <w:color w:val="auto"/>
          <w:sz w:val="28"/>
          <w:szCs w:val="28"/>
          <w:lang w:val="en-US" w:eastAsia="zh-CN"/>
        </w:rPr>
        <w:t>说明</w:t>
      </w:r>
      <w:r>
        <w:rPr>
          <w:rFonts w:hint="eastAsia"/>
          <w:color w:val="auto"/>
          <w:sz w:val="28"/>
          <w:szCs w:val="28"/>
        </w:rPr>
        <w:t>定义理解，绝不表示本项目性质或程序适用《中华人民共和国招标投标法》及其实施条例</w:t>
      </w:r>
      <w:r>
        <w:rPr>
          <w:rFonts w:hint="eastAsia"/>
          <w:color w:val="auto"/>
          <w:sz w:val="28"/>
          <w:szCs w:val="28"/>
          <w:lang w:eastAsia="zh-CN"/>
        </w:rPr>
        <w:t>。</w:t>
      </w:r>
      <w:r>
        <w:rPr>
          <w:rFonts w:hint="eastAsia"/>
          <w:color w:val="auto"/>
          <w:sz w:val="28"/>
          <w:szCs w:val="28"/>
        </w:rPr>
        <w:t>项目性质及程序严格依据本采购文件关于询</w:t>
      </w:r>
      <w:r>
        <w:rPr>
          <w:rFonts w:hint="eastAsia"/>
          <w:color w:val="auto"/>
          <w:sz w:val="28"/>
          <w:szCs w:val="28"/>
          <w:lang w:val="en-US" w:eastAsia="zh-CN"/>
        </w:rPr>
        <w:t>比</w:t>
      </w:r>
      <w:r>
        <w:rPr>
          <w:rFonts w:hint="eastAsia"/>
          <w:color w:val="auto"/>
          <w:sz w:val="28"/>
          <w:szCs w:val="28"/>
        </w:rPr>
        <w:t>采购的规定执行</w:t>
      </w:r>
      <w:r>
        <w:rPr>
          <w:rFonts w:hint="eastAsia"/>
          <w:color w:val="auto"/>
          <w:sz w:val="28"/>
          <w:szCs w:val="28"/>
          <w:lang w:eastAsia="zh-CN"/>
        </w:rPr>
        <w:t>，</w:t>
      </w:r>
      <w:r>
        <w:rPr>
          <w:rFonts w:hint="eastAsia"/>
          <w:color w:val="auto"/>
          <w:sz w:val="28"/>
          <w:szCs w:val="28"/>
        </w:rPr>
        <w:t>不因上述术语的使用而产生任何歧义或改变。</w:t>
      </w:r>
    </w:p>
    <w:p w14:paraId="6717AE35">
      <w:pPr>
        <w:spacing w:before="0" w:after="0" w:line="560" w:lineRule="exact"/>
        <w:jc w:val="center"/>
        <w:rPr>
          <w:rFonts w:hint="eastAsia" w:asciiTheme="minorEastAsia" w:hAnsiTheme="minorEastAsia" w:cstheme="minorEastAsia"/>
          <w:b/>
          <w:color w:val="000000" w:themeColor="text1"/>
          <w:sz w:val="30"/>
          <w:szCs w:val="30"/>
          <w14:textFill>
            <w14:solidFill>
              <w14:schemeClr w14:val="tx1"/>
            </w14:solidFill>
          </w14:textFill>
        </w:rPr>
      </w:pPr>
    </w:p>
    <w:p w14:paraId="02B02108">
      <w:pPr>
        <w:pStyle w:val="11"/>
        <w:rPr>
          <w:rFonts w:hint="eastAsia"/>
        </w:rPr>
      </w:pPr>
    </w:p>
    <w:p w14:paraId="0E90EC9B">
      <w:pPr>
        <w:jc w:val="center"/>
        <w:rPr>
          <w:rFonts w:hint="eastAsia"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目</w:t>
      </w:r>
      <w:r>
        <w:rPr>
          <w:rFonts w:hint="eastAsia" w:asciiTheme="minorEastAsia" w:hAnsiTheme="minorEastAsia" w:cstheme="minorEastAsia"/>
          <w:b/>
          <w:bCs/>
          <w:color w:val="000000" w:themeColor="text1"/>
          <w:sz w:val="28"/>
          <w:szCs w:val="28"/>
          <w:lang w:val="en-US"/>
          <w14:textFill>
            <w14:solidFill>
              <w14:schemeClr w14:val="tx1"/>
            </w14:solidFill>
          </w14:textFill>
        </w:rPr>
        <w:t xml:space="preserve">    </w:t>
      </w:r>
      <w:r>
        <w:rPr>
          <w:rFonts w:hint="eastAsia" w:asciiTheme="minorEastAsia" w:hAnsiTheme="minorEastAsia" w:cstheme="minorEastAsia"/>
          <w:b/>
          <w:bCs/>
          <w:color w:val="000000" w:themeColor="text1"/>
          <w:sz w:val="28"/>
          <w:szCs w:val="28"/>
          <w14:textFill>
            <w14:solidFill>
              <w14:schemeClr w14:val="tx1"/>
            </w14:solidFill>
          </w14:textFill>
        </w:rPr>
        <w:t>录</w:t>
      </w:r>
    </w:p>
    <w:p w14:paraId="5F78F960">
      <w:pPr>
        <w:pStyle w:val="17"/>
        <w:tabs>
          <w:tab w:val="right" w:leader="dot" w:pos="9525"/>
        </w:tabs>
      </w:pPr>
      <w:r>
        <w:rPr>
          <w:rFonts w:hint="eastAsia" w:asciiTheme="minorEastAsia" w:hAnsiTheme="minorEastAsia" w:cstheme="minorEastAsia"/>
          <w:color w:val="000000" w:themeColor="text1"/>
          <w:sz w:val="24"/>
          <w:szCs w:val="24"/>
          <w14:textFill>
            <w14:solidFill>
              <w14:schemeClr w14:val="tx1"/>
            </w14:solidFill>
          </w14:textFill>
        </w:rPr>
        <w:fldChar w:fldCharType="begin"/>
      </w:r>
      <w:r>
        <w:rPr>
          <w:rFonts w:hint="eastAsia" w:asciiTheme="minorEastAsia" w:hAnsiTheme="minorEastAsia" w:cstheme="minorEastAsia"/>
          <w:color w:val="000000" w:themeColor="text1"/>
          <w:sz w:val="24"/>
          <w:szCs w:val="24"/>
          <w14:textFill>
            <w14:solidFill>
              <w14:schemeClr w14:val="tx1"/>
            </w14:solidFill>
          </w14:textFill>
        </w:rPr>
        <w:instrText xml:space="preserve">TOC \o "1-3" \h \u </w:instrText>
      </w:r>
      <w:r>
        <w:rPr>
          <w:rFonts w:hint="eastAsia" w:asciiTheme="minorEastAsia" w:hAnsiTheme="minorEastAsia" w:cstheme="minorEastAsia"/>
          <w:color w:val="000000" w:themeColor="text1"/>
          <w:sz w:val="24"/>
          <w:szCs w:val="24"/>
          <w14:textFill>
            <w14:solidFill>
              <w14:schemeClr w14:val="tx1"/>
            </w14:solidFill>
          </w14:textFill>
        </w:rPr>
        <w:fldChar w:fldCharType="separate"/>
      </w: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_Toc520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一、询比采购公告</w:t>
      </w:r>
      <w:r>
        <w:tab/>
      </w:r>
      <w:r>
        <w:fldChar w:fldCharType="begin"/>
      </w:r>
      <w:r>
        <w:instrText xml:space="preserve"> PAGEREF _Toc520 \h </w:instrText>
      </w:r>
      <w:r>
        <w:fldChar w:fldCharType="separate"/>
      </w:r>
      <w:r>
        <w:t>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7AE882C4">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_Toc31824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rPr>
        <w:t>1</w:t>
      </w:r>
      <w:r>
        <w:rPr>
          <w:rFonts w:hint="eastAsia" w:asciiTheme="minorEastAsia" w:hAnsiTheme="minorEastAsia" w:cstheme="minorEastAsia"/>
          <w:szCs w:val="28"/>
          <w:lang w:val="en-US"/>
        </w:rPr>
        <w:t>.</w:t>
      </w:r>
      <w:r>
        <w:rPr>
          <w:rFonts w:hint="eastAsia" w:asciiTheme="minorEastAsia" w:hAnsiTheme="minorEastAsia" w:cstheme="minorEastAsia"/>
          <w:szCs w:val="28"/>
        </w:rPr>
        <w:t>项目</w:t>
      </w:r>
      <w:r>
        <w:rPr>
          <w:rFonts w:hint="eastAsia" w:asciiTheme="minorEastAsia" w:hAnsiTheme="minorEastAsia" w:cstheme="minorEastAsia"/>
          <w:szCs w:val="28"/>
          <w:lang w:val="en-US"/>
        </w:rPr>
        <w:t>概况和采购要求</w:t>
      </w:r>
      <w:r>
        <w:tab/>
      </w:r>
      <w:r>
        <w:fldChar w:fldCharType="begin"/>
      </w:r>
      <w:r>
        <w:instrText xml:space="preserve"> PAGEREF _Toc31824 \h </w:instrText>
      </w:r>
      <w:r>
        <w:fldChar w:fldCharType="separate"/>
      </w:r>
      <w:r>
        <w:t>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58DC0A57">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_Toc29043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2.</w:t>
      </w:r>
      <w:r>
        <w:rPr>
          <w:rFonts w:hint="eastAsia" w:asciiTheme="minorEastAsia" w:hAnsiTheme="minorEastAsia" w:cstheme="minorEastAsia"/>
          <w:szCs w:val="28"/>
        </w:rPr>
        <w:t>供应商资格要求</w:t>
      </w:r>
      <w:r>
        <w:tab/>
      </w:r>
      <w:r>
        <w:fldChar w:fldCharType="begin"/>
      </w:r>
      <w:r>
        <w:instrText xml:space="preserve"> PAGEREF _Toc29043 \h </w:instrText>
      </w:r>
      <w:r>
        <w:fldChar w:fldCharType="separate"/>
      </w:r>
      <w:r>
        <w:t>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560445C6">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_Toc22023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3.采购文件的获取</w:t>
      </w:r>
      <w:r>
        <w:tab/>
      </w:r>
      <w:r>
        <w:fldChar w:fldCharType="begin"/>
      </w:r>
      <w:r>
        <w:instrText xml:space="preserve"> PAGEREF _Toc22023 \h </w:instrText>
      </w:r>
      <w:r>
        <w:fldChar w:fldCharType="separate"/>
      </w:r>
      <w:r>
        <w:t>6</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7C717143">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_Toc19584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4.响应文件的递交</w:t>
      </w:r>
      <w:r>
        <w:tab/>
      </w:r>
      <w:r>
        <w:fldChar w:fldCharType="begin"/>
      </w:r>
      <w:r>
        <w:instrText xml:space="preserve"> PAGEREF _Toc19584 \h </w:instrText>
      </w:r>
      <w:r>
        <w:fldChar w:fldCharType="separate"/>
      </w:r>
      <w:r>
        <w:t>6</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946F4BF">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_Toc27621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5.资格审查方式</w:t>
      </w:r>
      <w:r>
        <w:tab/>
      </w:r>
      <w:r>
        <w:fldChar w:fldCharType="begin"/>
      </w:r>
      <w:r>
        <w:instrText xml:space="preserve"> PAGEREF _Toc27621 \h </w:instrText>
      </w:r>
      <w:r>
        <w:fldChar w:fldCharType="separate"/>
      </w:r>
      <w:r>
        <w:t>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4D0F2A7B">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_Toc30453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6.评审办法</w:t>
      </w:r>
      <w:r>
        <w:tab/>
      </w:r>
      <w:r>
        <w:fldChar w:fldCharType="begin"/>
      </w:r>
      <w:r>
        <w:instrText xml:space="preserve"> PAGEREF _Toc30453 \h </w:instrText>
      </w:r>
      <w:r>
        <w:fldChar w:fldCharType="separate"/>
      </w:r>
      <w:r>
        <w:t>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1824C016">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_Toc1277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7.响应文件开启时间和地点</w:t>
      </w:r>
      <w:r>
        <w:tab/>
      </w:r>
      <w:r>
        <w:fldChar w:fldCharType="begin"/>
      </w:r>
      <w:r>
        <w:instrText xml:space="preserve"> PAGEREF _Toc1277 \h </w:instrText>
      </w:r>
      <w:r>
        <w:fldChar w:fldCharType="separate"/>
      </w:r>
      <w:r>
        <w:t>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C40E02E">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_Toc19571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8.其他说明事项</w:t>
      </w:r>
      <w:r>
        <w:tab/>
      </w:r>
      <w:r>
        <w:fldChar w:fldCharType="begin"/>
      </w:r>
      <w:r>
        <w:instrText xml:space="preserve"> PAGEREF _Toc19571 \h </w:instrText>
      </w:r>
      <w:r>
        <w:fldChar w:fldCharType="separate"/>
      </w:r>
      <w:r>
        <w:t>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3D44C0BB">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_Toc25559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9.发布公告的媒介</w:t>
      </w:r>
      <w:r>
        <w:tab/>
      </w:r>
      <w:r>
        <w:fldChar w:fldCharType="begin"/>
      </w:r>
      <w:r>
        <w:instrText xml:space="preserve"> PAGEREF _Toc25559 \h </w:instrText>
      </w:r>
      <w:r>
        <w:fldChar w:fldCharType="separate"/>
      </w:r>
      <w:r>
        <w:t>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72DE6948">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_Toc19719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10.联系方式</w:t>
      </w:r>
      <w:r>
        <w:tab/>
      </w:r>
      <w:r>
        <w:fldChar w:fldCharType="begin"/>
      </w:r>
      <w:r>
        <w:instrText xml:space="preserve"> PAGEREF _Toc19719 \h </w:instrText>
      </w:r>
      <w:r>
        <w:fldChar w:fldCharType="separate"/>
      </w:r>
      <w:r>
        <w:t>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3D2F914A">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_Toc22865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11.有关说明</w:t>
      </w:r>
      <w:r>
        <w:tab/>
      </w:r>
      <w:r>
        <w:fldChar w:fldCharType="begin"/>
      </w:r>
      <w:r>
        <w:instrText xml:space="preserve"> PAGEREF _Toc22865 \h </w:instrText>
      </w:r>
      <w:r>
        <w:fldChar w:fldCharType="separate"/>
      </w:r>
      <w:r>
        <w:t>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1E65E4B5">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_Toc6932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二、供应商须知</w:t>
      </w:r>
      <w:r>
        <w:tab/>
      </w:r>
      <w:r>
        <w:fldChar w:fldCharType="begin"/>
      </w:r>
      <w:r>
        <w:instrText xml:space="preserve"> PAGEREF _Toc6932 \h </w:instrText>
      </w:r>
      <w:r>
        <w:fldChar w:fldCharType="separate"/>
      </w:r>
      <w:r>
        <w:t>10</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93D2641">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_Toc10068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1.项目概况和采购要求</w:t>
      </w:r>
      <w:r>
        <w:tab/>
      </w:r>
      <w:r>
        <w:fldChar w:fldCharType="begin"/>
      </w:r>
      <w:r>
        <w:instrText xml:space="preserve"> PAGEREF _Toc10068 \h </w:instrText>
      </w:r>
      <w:r>
        <w:fldChar w:fldCharType="separate"/>
      </w:r>
      <w:r>
        <w:t>10</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2AAFD58F">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_Toc15786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2.供应商资格要求</w:t>
      </w:r>
      <w:r>
        <w:tab/>
      </w:r>
      <w:r>
        <w:fldChar w:fldCharType="begin"/>
      </w:r>
      <w:r>
        <w:instrText xml:space="preserve"> PAGEREF _Toc15786 \h </w:instrText>
      </w:r>
      <w:r>
        <w:fldChar w:fldCharType="separate"/>
      </w:r>
      <w:r>
        <w:t>10</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0E3C95AC">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_Toc31314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3.响应文件编制</w:t>
      </w:r>
      <w:r>
        <w:tab/>
      </w:r>
      <w:r>
        <w:fldChar w:fldCharType="begin"/>
      </w:r>
      <w:r>
        <w:instrText xml:space="preserve"> PAGEREF _Toc31314 \h </w:instrText>
      </w:r>
      <w:r>
        <w:fldChar w:fldCharType="separate"/>
      </w:r>
      <w:r>
        <w:t>10</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0701BD01">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_Toc29326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4.响应报价：</w:t>
      </w:r>
      <w:r>
        <w:tab/>
      </w:r>
      <w:r>
        <w:fldChar w:fldCharType="begin"/>
      </w:r>
      <w:r>
        <w:instrText xml:space="preserve"> PAGEREF _Toc29326 \h </w:instrText>
      </w:r>
      <w:r>
        <w:fldChar w:fldCharType="separate"/>
      </w:r>
      <w:r>
        <w:t>10</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2C3EB887">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_Toc14257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5.响应保证金</w:t>
      </w:r>
      <w:r>
        <w:tab/>
      </w:r>
      <w:r>
        <w:fldChar w:fldCharType="begin"/>
      </w:r>
      <w:r>
        <w:instrText xml:space="preserve"> PAGEREF _Toc14257 \h </w:instrText>
      </w:r>
      <w:r>
        <w:fldChar w:fldCharType="separate"/>
      </w:r>
      <w:r>
        <w:t>11</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026542AD">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_Toc30071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6.响应有效期</w:t>
      </w:r>
      <w:r>
        <w:tab/>
      </w:r>
      <w:r>
        <w:fldChar w:fldCharType="begin"/>
      </w:r>
      <w:r>
        <w:instrText xml:space="preserve"> PAGEREF _Toc30071 \h </w:instrText>
      </w:r>
      <w:r>
        <w:fldChar w:fldCharType="separate"/>
      </w:r>
      <w:r>
        <w:t>11</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1B19757D">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_Toc4233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7.备选方案</w:t>
      </w:r>
      <w:r>
        <w:tab/>
      </w:r>
      <w:r>
        <w:fldChar w:fldCharType="begin"/>
      </w:r>
      <w:r>
        <w:instrText xml:space="preserve"> PAGEREF _Toc4233 \h </w:instrText>
      </w:r>
      <w:r>
        <w:fldChar w:fldCharType="separate"/>
      </w:r>
      <w:r>
        <w:t>12</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417FFD0">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_Toc3667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8.递交响应文件</w:t>
      </w:r>
      <w:r>
        <w:tab/>
      </w:r>
      <w:r>
        <w:fldChar w:fldCharType="begin"/>
      </w:r>
      <w:r>
        <w:instrText xml:space="preserve"> PAGEREF _Toc3667 \h </w:instrText>
      </w:r>
      <w:r>
        <w:fldChar w:fldCharType="separate"/>
      </w:r>
      <w:r>
        <w:t>12</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68342D2">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_Toc869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9.评审</w:t>
      </w:r>
      <w:r>
        <w:tab/>
      </w:r>
      <w:r>
        <w:fldChar w:fldCharType="begin"/>
      </w:r>
      <w:r>
        <w:instrText xml:space="preserve"> PAGEREF _Toc869 \h </w:instrText>
      </w:r>
      <w:r>
        <w:fldChar w:fldCharType="separate"/>
      </w:r>
      <w:r>
        <w:t>12</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47DE0067">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_Toc1678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10.确定成交人</w:t>
      </w:r>
      <w:r>
        <w:tab/>
      </w:r>
      <w:r>
        <w:fldChar w:fldCharType="begin"/>
      </w:r>
      <w:r>
        <w:instrText xml:space="preserve"> PAGEREF _Toc1678 \h </w:instrText>
      </w:r>
      <w:r>
        <w:fldChar w:fldCharType="separate"/>
      </w:r>
      <w:r>
        <w:t>15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38B195EA">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_Toc3297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11.成交通知</w:t>
      </w:r>
      <w:r>
        <w:tab/>
      </w:r>
      <w:r>
        <w:fldChar w:fldCharType="begin"/>
      </w:r>
      <w:r>
        <w:instrText xml:space="preserve"> PAGEREF _Toc3297 \h </w:instrText>
      </w:r>
      <w:r>
        <w:fldChar w:fldCharType="separate"/>
      </w:r>
      <w:r>
        <w:t>15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1F6EFD09">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_Toc26032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12.重新招标</w:t>
      </w:r>
      <w:r>
        <w:tab/>
      </w:r>
      <w:r>
        <w:fldChar w:fldCharType="begin"/>
      </w:r>
      <w:r>
        <w:instrText xml:space="preserve"> PAGEREF _Toc26032 \h </w:instrText>
      </w:r>
      <w:r>
        <w:fldChar w:fldCharType="separate"/>
      </w:r>
      <w:r>
        <w:t>15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BB55A60">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_Toc1625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13.评审服务费</w:t>
      </w:r>
      <w:r>
        <w:tab/>
      </w:r>
      <w:r>
        <w:fldChar w:fldCharType="begin"/>
      </w:r>
      <w:r>
        <w:instrText xml:space="preserve"> PAGEREF _Toc1625 \h </w:instrText>
      </w:r>
      <w:r>
        <w:fldChar w:fldCharType="separate"/>
      </w:r>
      <w:r>
        <w:t>16</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2A4D976E">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_Toc6096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14.履约保证金</w:t>
      </w:r>
      <w:r>
        <w:tab/>
      </w:r>
      <w:r>
        <w:fldChar w:fldCharType="begin"/>
      </w:r>
      <w:r>
        <w:instrText xml:space="preserve"> PAGEREF _Toc6096 \h </w:instrText>
      </w:r>
      <w:r>
        <w:fldChar w:fldCharType="separate"/>
      </w:r>
      <w:r>
        <w:t>16</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AC8971A">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_Toc27404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15.签订合同</w:t>
      </w:r>
      <w:r>
        <w:tab/>
      </w:r>
      <w:r>
        <w:fldChar w:fldCharType="begin"/>
      </w:r>
      <w:r>
        <w:instrText xml:space="preserve"> PAGEREF _Toc27404 \h </w:instrText>
      </w:r>
      <w:r>
        <w:fldChar w:fldCharType="separate"/>
      </w:r>
      <w:r>
        <w:t>16</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0706242A">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_Toc29862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4"/>
          <w:lang w:val="en-US"/>
        </w:rPr>
        <w:t>1</w:t>
      </w:r>
      <w:r>
        <w:rPr>
          <w:rFonts w:hint="eastAsia" w:asciiTheme="minorEastAsia" w:hAnsiTheme="minorEastAsia" w:cstheme="minorEastAsia"/>
          <w:szCs w:val="24"/>
          <w:lang w:val="en-US" w:eastAsia="zh-CN"/>
        </w:rPr>
        <w:t>6</w:t>
      </w:r>
      <w:r>
        <w:rPr>
          <w:rFonts w:hint="eastAsia" w:asciiTheme="minorEastAsia" w:hAnsiTheme="minorEastAsia" w:cstheme="minorEastAsia"/>
          <w:szCs w:val="24"/>
          <w:lang w:val="en-US"/>
        </w:rPr>
        <w:t>.需要补充的其他内容</w:t>
      </w:r>
      <w:r>
        <w:tab/>
      </w:r>
      <w:r>
        <w:fldChar w:fldCharType="begin"/>
      </w:r>
      <w:r>
        <w:instrText xml:space="preserve"> PAGEREF _Toc29862 \h </w:instrText>
      </w:r>
      <w:r>
        <w:fldChar w:fldCharType="separate"/>
      </w:r>
      <w:r>
        <w:t>16</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1E2F40F0">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_Toc16223 </w:instrText>
      </w:r>
      <w:r>
        <w:rPr>
          <w:rFonts w:hint="eastAsia" w:asciiTheme="minorEastAsia" w:hAnsiTheme="minorEastAsia" w:cstheme="minorEastAsia"/>
          <w:szCs w:val="24"/>
        </w:rPr>
        <w:fldChar w:fldCharType="separate"/>
      </w:r>
      <w:r>
        <w:rPr>
          <w:rFonts w:hint="eastAsia" w:hAnsi="宋体" w:eastAsia="宋体" w:cs="宋体"/>
          <w:szCs w:val="36"/>
          <w:lang w:val="en-US"/>
        </w:rPr>
        <w:t>三、淮北矿业电子招标采购平台其他注意事项：</w:t>
      </w:r>
      <w:r>
        <w:tab/>
      </w:r>
      <w:r>
        <w:fldChar w:fldCharType="begin"/>
      </w:r>
      <w:r>
        <w:instrText xml:space="preserve"> PAGEREF _Toc16223 \h </w:instrText>
      </w:r>
      <w:r>
        <w:fldChar w:fldCharType="separate"/>
      </w:r>
      <w:r>
        <w:t>18</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354C4596">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_Toc5198 </w:instrText>
      </w:r>
      <w:r>
        <w:rPr>
          <w:rFonts w:hint="eastAsia" w:asciiTheme="minorEastAsia" w:hAnsiTheme="minorEastAsia" w:cstheme="minorEastAsia"/>
          <w:szCs w:val="24"/>
        </w:rPr>
        <w:fldChar w:fldCharType="separate"/>
      </w:r>
      <w:r>
        <w:rPr>
          <w:rFonts w:hint="eastAsia" w:hAnsi="宋体" w:eastAsia="宋体" w:cs="宋体"/>
          <w:szCs w:val="36"/>
          <w:lang w:val="en-US"/>
        </w:rPr>
        <w:t>四、评审办法</w:t>
      </w:r>
      <w:r>
        <w:tab/>
      </w:r>
      <w:r>
        <w:fldChar w:fldCharType="begin"/>
      </w:r>
      <w:r>
        <w:instrText xml:space="preserve"> PAGEREF _Toc5198 \h </w:instrText>
      </w:r>
      <w:r>
        <w:fldChar w:fldCharType="separate"/>
      </w:r>
      <w:r>
        <w:t>21</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5915E640">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_Toc29473 </w:instrText>
      </w:r>
      <w:r>
        <w:rPr>
          <w:rFonts w:hint="eastAsia" w:asciiTheme="minorEastAsia" w:hAnsiTheme="minorEastAsia" w:cstheme="minorEastAsia"/>
          <w:szCs w:val="24"/>
        </w:rPr>
        <w:fldChar w:fldCharType="separate"/>
      </w:r>
      <w:r>
        <w:rPr>
          <w:rFonts w:hint="eastAsia" w:asciiTheme="minorEastAsia" w:hAnsiTheme="minorEastAsia" w:cstheme="minorEastAsia"/>
          <w:bCs/>
          <w:szCs w:val="24"/>
          <w:lang w:val="en-US"/>
        </w:rPr>
        <w:t>1.符合性评审</w:t>
      </w:r>
      <w:r>
        <w:tab/>
      </w:r>
      <w:r>
        <w:fldChar w:fldCharType="begin"/>
      </w:r>
      <w:r>
        <w:instrText xml:space="preserve"> PAGEREF _Toc29473 \h </w:instrText>
      </w:r>
      <w:r>
        <w:fldChar w:fldCharType="separate"/>
      </w:r>
      <w:r>
        <w:t>21</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393B69AA">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_Toc1781 </w:instrText>
      </w:r>
      <w:r>
        <w:rPr>
          <w:rFonts w:hint="eastAsia" w:asciiTheme="minorEastAsia" w:hAnsiTheme="minorEastAsia" w:cstheme="minorEastAsia"/>
          <w:szCs w:val="24"/>
        </w:rPr>
        <w:fldChar w:fldCharType="separate"/>
      </w:r>
      <w:r>
        <w:rPr>
          <w:rFonts w:hint="eastAsia" w:asciiTheme="minorEastAsia" w:hAnsiTheme="minorEastAsia" w:cstheme="minorEastAsia"/>
          <w:bCs/>
          <w:szCs w:val="24"/>
          <w:lang w:val="en-US"/>
        </w:rPr>
        <w:t>2.详细评审</w:t>
      </w:r>
      <w:r>
        <w:tab/>
      </w:r>
      <w:r>
        <w:fldChar w:fldCharType="begin"/>
      </w:r>
      <w:r>
        <w:instrText xml:space="preserve"> PAGEREF _Toc1781 \h </w:instrText>
      </w:r>
      <w:r>
        <w:fldChar w:fldCharType="separate"/>
      </w:r>
      <w:r>
        <w:t>22</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284DE687">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_Toc7935 </w:instrText>
      </w:r>
      <w:r>
        <w:rPr>
          <w:rFonts w:hint="eastAsia" w:asciiTheme="minorEastAsia" w:hAnsiTheme="minorEastAsia" w:cstheme="minorEastAsia"/>
          <w:szCs w:val="24"/>
        </w:rPr>
        <w:fldChar w:fldCharType="separate"/>
      </w:r>
      <w:r>
        <w:rPr>
          <w:rFonts w:hint="eastAsia" w:hAnsi="宋体" w:eastAsia="宋体" w:cs="宋体"/>
          <w:szCs w:val="36"/>
          <w:lang w:val="en-US"/>
        </w:rPr>
        <w:t>五、确定成交候选人和成交人</w:t>
      </w:r>
      <w:r>
        <w:tab/>
      </w:r>
      <w:r>
        <w:fldChar w:fldCharType="begin"/>
      </w:r>
      <w:r>
        <w:instrText xml:space="preserve"> PAGEREF _Toc7935 \h </w:instrText>
      </w:r>
      <w:r>
        <w:fldChar w:fldCharType="separate"/>
      </w:r>
      <w:r>
        <w:t>24</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36F125F">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_Toc28416 </w:instrText>
      </w:r>
      <w:r>
        <w:rPr>
          <w:rFonts w:hint="eastAsia" w:asciiTheme="minorEastAsia" w:hAnsiTheme="minorEastAsia" w:cstheme="minorEastAsia"/>
          <w:szCs w:val="24"/>
        </w:rPr>
        <w:fldChar w:fldCharType="separate"/>
      </w:r>
      <w:r>
        <w:rPr>
          <w:rFonts w:hint="eastAsia" w:asciiTheme="minorEastAsia" w:hAnsiTheme="minorEastAsia" w:cstheme="minorEastAsia"/>
          <w:szCs w:val="28"/>
          <w:lang w:val="en-US"/>
        </w:rPr>
        <w:t>六、合同的订立与主要条款</w:t>
      </w:r>
      <w:r>
        <w:tab/>
      </w:r>
      <w:r>
        <w:fldChar w:fldCharType="begin"/>
      </w:r>
      <w:r>
        <w:instrText xml:space="preserve"> PAGEREF _Toc28416 \h </w:instrText>
      </w:r>
      <w:r>
        <w:fldChar w:fldCharType="separate"/>
      </w:r>
      <w:r>
        <w:t>25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2FBDBFC5">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_Toc16010 </w:instrText>
      </w:r>
      <w:r>
        <w:rPr>
          <w:rFonts w:hint="eastAsia" w:asciiTheme="minorEastAsia" w:hAnsiTheme="minorEastAsia" w:cstheme="minorEastAsia"/>
          <w:szCs w:val="24"/>
        </w:rPr>
        <w:fldChar w:fldCharType="separate"/>
      </w:r>
      <w:r>
        <w:rPr>
          <w:rFonts w:hint="eastAsia" w:hAnsi="宋体" w:eastAsia="宋体" w:cs="宋体"/>
          <w:szCs w:val="36"/>
          <w:lang w:val="en-US"/>
        </w:rPr>
        <w:t>七、响应文件格式</w:t>
      </w:r>
      <w:r>
        <w:tab/>
      </w:r>
      <w:r>
        <w:fldChar w:fldCharType="begin"/>
      </w:r>
      <w:r>
        <w:instrText xml:space="preserve"> PAGEREF _Toc16010 \h </w:instrText>
      </w:r>
      <w:r>
        <w:fldChar w:fldCharType="separate"/>
      </w:r>
      <w:r>
        <w:t>27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23A87DB4">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_Toc14713 </w:instrText>
      </w:r>
      <w:r>
        <w:rPr>
          <w:rFonts w:hint="eastAsia" w:asciiTheme="minorEastAsia" w:hAnsiTheme="minorEastAsia" w:cstheme="minorEastAsia"/>
          <w:szCs w:val="24"/>
        </w:rPr>
        <w:fldChar w:fldCharType="separate"/>
      </w:r>
      <w:r>
        <w:rPr>
          <w:rFonts w:hint="eastAsia"/>
          <w:bCs/>
          <w:szCs w:val="24"/>
        </w:rPr>
        <w:t>法定代表人身份证明</w:t>
      </w:r>
      <w:r>
        <w:tab/>
      </w:r>
      <w:r>
        <w:fldChar w:fldCharType="begin"/>
      </w:r>
      <w:r>
        <w:instrText xml:space="preserve"> PAGEREF _Toc14713 \h </w:instrText>
      </w:r>
      <w:r>
        <w:fldChar w:fldCharType="separate"/>
      </w:r>
      <w:r>
        <w:t>27</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768504D2">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_Toc21370 </w:instrText>
      </w:r>
      <w:r>
        <w:rPr>
          <w:rFonts w:hint="eastAsia" w:asciiTheme="minorEastAsia" w:hAnsiTheme="minorEastAsia" w:cstheme="minorEastAsia"/>
          <w:szCs w:val="24"/>
        </w:rPr>
        <w:fldChar w:fldCharType="separate"/>
      </w:r>
      <w:r>
        <w:rPr>
          <w:rFonts w:hint="eastAsia"/>
          <w:bCs/>
          <w:szCs w:val="24"/>
        </w:rPr>
        <w:t>法定代表人授权委托书（</w:t>
      </w:r>
      <w:r>
        <w:rPr>
          <w:rFonts w:hint="eastAsia"/>
          <w:bCs/>
          <w:szCs w:val="24"/>
          <w:lang w:val="en-US"/>
        </w:rPr>
        <w:t>如需</w:t>
      </w:r>
      <w:r>
        <w:rPr>
          <w:rFonts w:hint="eastAsia"/>
          <w:bCs/>
          <w:szCs w:val="24"/>
        </w:rPr>
        <w:t>）</w:t>
      </w:r>
      <w:r>
        <w:tab/>
      </w:r>
      <w:r>
        <w:fldChar w:fldCharType="begin"/>
      </w:r>
      <w:r>
        <w:instrText xml:space="preserve"> PAGEREF _Toc21370 \h </w:instrText>
      </w:r>
      <w:r>
        <w:fldChar w:fldCharType="separate"/>
      </w:r>
      <w:r>
        <w:t>28</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1235B74F">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_Toc20155 </w:instrText>
      </w:r>
      <w:r>
        <w:rPr>
          <w:rFonts w:hint="eastAsia" w:asciiTheme="minorEastAsia" w:hAnsiTheme="minorEastAsia" w:cstheme="minorEastAsia"/>
          <w:szCs w:val="24"/>
        </w:rPr>
        <w:fldChar w:fldCharType="separate"/>
      </w:r>
      <w:r>
        <w:rPr>
          <w:rFonts w:hint="eastAsia"/>
          <w:bCs/>
          <w:szCs w:val="24"/>
        </w:rPr>
        <w:t>响</w:t>
      </w:r>
      <w:r>
        <w:rPr>
          <w:rFonts w:hint="eastAsia"/>
          <w:bCs/>
          <w:szCs w:val="24"/>
          <w:lang w:val="en-US"/>
        </w:rPr>
        <w:t xml:space="preserve">  </w:t>
      </w:r>
      <w:r>
        <w:rPr>
          <w:rFonts w:hint="eastAsia"/>
          <w:bCs/>
          <w:szCs w:val="24"/>
        </w:rPr>
        <w:t>应 函</w:t>
      </w:r>
      <w:r>
        <w:tab/>
      </w:r>
      <w:r>
        <w:fldChar w:fldCharType="begin"/>
      </w:r>
      <w:r>
        <w:instrText xml:space="preserve"> PAGEREF _Toc20155 \h </w:instrText>
      </w:r>
      <w:r>
        <w:fldChar w:fldCharType="separate"/>
      </w:r>
      <w:r>
        <w:t>29</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351FBA86">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_Toc1053 </w:instrText>
      </w:r>
      <w:r>
        <w:rPr>
          <w:rFonts w:hint="eastAsia" w:asciiTheme="minorEastAsia" w:hAnsiTheme="minorEastAsia" w:cstheme="minorEastAsia"/>
          <w:szCs w:val="24"/>
        </w:rPr>
        <w:fldChar w:fldCharType="separate"/>
      </w:r>
      <w:r>
        <w:rPr>
          <w:rFonts w:hint="eastAsia"/>
          <w:bCs/>
          <w:szCs w:val="32"/>
          <w:lang w:val="en-US" w:eastAsia="zh-CN"/>
        </w:rPr>
        <w:t>报  价  表</w:t>
      </w:r>
      <w:r>
        <w:tab/>
      </w:r>
      <w:r>
        <w:fldChar w:fldCharType="begin"/>
      </w:r>
      <w:r>
        <w:instrText xml:space="preserve"> PAGEREF _Toc1053 \h </w:instrText>
      </w:r>
      <w:r>
        <w:fldChar w:fldCharType="separate"/>
      </w:r>
      <w:r>
        <w:t>31</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328B7617">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_Toc9657 </w:instrText>
      </w:r>
      <w:r>
        <w:rPr>
          <w:rFonts w:hint="eastAsia" w:asciiTheme="minorEastAsia" w:hAnsiTheme="minorEastAsia" w:cstheme="minorEastAsia"/>
          <w:szCs w:val="24"/>
        </w:rPr>
        <w:fldChar w:fldCharType="separate"/>
      </w:r>
      <w:r>
        <w:rPr>
          <w:rFonts w:hint="eastAsia" w:asciiTheme="minorEastAsia" w:hAnsiTheme="minorEastAsia" w:cstheme="minorEastAsia"/>
          <w:bCs/>
          <w:szCs w:val="24"/>
          <w:lang w:val="en-US" w:eastAsia="zh-CN"/>
        </w:rPr>
        <w:t>资格审查资料</w:t>
      </w:r>
      <w:r>
        <w:tab/>
      </w:r>
      <w:r>
        <w:fldChar w:fldCharType="begin"/>
      </w:r>
      <w:r>
        <w:instrText xml:space="preserve"> PAGEREF _Toc9657 \h </w:instrText>
      </w:r>
      <w:r>
        <w:fldChar w:fldCharType="separate"/>
      </w:r>
      <w:r>
        <w:t>32</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6EDA5778">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_Toc5641 </w:instrText>
      </w:r>
      <w:r>
        <w:rPr>
          <w:rFonts w:hint="eastAsia" w:asciiTheme="minorEastAsia" w:hAnsiTheme="minorEastAsia" w:cstheme="minorEastAsia"/>
          <w:szCs w:val="24"/>
        </w:rPr>
        <w:fldChar w:fldCharType="separate"/>
      </w:r>
      <w:r>
        <w:rPr>
          <w:rFonts w:hint="eastAsia" w:asciiTheme="minorEastAsia" w:hAnsiTheme="minorEastAsia" w:cstheme="minorEastAsia"/>
          <w:bCs/>
          <w:szCs w:val="24"/>
          <w:lang w:val="en-US"/>
        </w:rPr>
        <w:t>质量承诺书</w:t>
      </w:r>
      <w:r>
        <w:tab/>
      </w:r>
      <w:r>
        <w:fldChar w:fldCharType="begin"/>
      </w:r>
      <w:r>
        <w:instrText xml:space="preserve"> PAGEREF _Toc5641 \h </w:instrText>
      </w:r>
      <w:r>
        <w:fldChar w:fldCharType="separate"/>
      </w:r>
      <w:r>
        <w:t>33</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103046F0">
      <w:pPr>
        <w:pStyle w:val="18"/>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_Toc13917 </w:instrText>
      </w:r>
      <w:r>
        <w:rPr>
          <w:rFonts w:hint="eastAsia" w:asciiTheme="minorEastAsia" w:hAnsiTheme="minorEastAsia" w:cstheme="minorEastAsia"/>
          <w:szCs w:val="24"/>
        </w:rPr>
        <w:fldChar w:fldCharType="separate"/>
      </w:r>
      <w:r>
        <w:rPr>
          <w:rFonts w:hint="eastAsia" w:asciiTheme="minorEastAsia" w:hAnsiTheme="minorEastAsia" w:cstheme="minorEastAsia"/>
          <w:bCs/>
          <w:szCs w:val="24"/>
          <w:lang w:val="en-US"/>
        </w:rPr>
        <w:t>业绩证明文件</w:t>
      </w:r>
      <w:r>
        <w:tab/>
      </w:r>
      <w:r>
        <w:fldChar w:fldCharType="begin"/>
      </w:r>
      <w:r>
        <w:instrText xml:space="preserve"> PAGEREF _Toc13917 \h </w:instrText>
      </w:r>
      <w:r>
        <w:fldChar w:fldCharType="separate"/>
      </w:r>
      <w:r>
        <w:t>34</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0EF6A19D">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_Toc28553 </w:instrText>
      </w:r>
      <w:r>
        <w:rPr>
          <w:rFonts w:hint="eastAsia" w:asciiTheme="minorEastAsia" w:hAnsiTheme="minorEastAsia" w:cstheme="minorEastAsia"/>
          <w:szCs w:val="24"/>
        </w:rPr>
        <w:fldChar w:fldCharType="separate"/>
      </w:r>
      <w:r>
        <w:rPr>
          <w:rFonts w:hint="eastAsia" w:ascii="宋体" w:hAnsi="Courier New" w:eastAsiaTheme="minorEastAsia" w:cstheme="minorBidi"/>
          <w:bCs/>
          <w:szCs w:val="24"/>
          <w:lang w:val="ru-RU" w:eastAsia="zh-CN" w:bidi="ar-SA"/>
        </w:rPr>
        <w:t>八、</w:t>
      </w:r>
      <w:r>
        <w:rPr>
          <w:rFonts w:hint="eastAsia" w:hAnsi="宋体" w:eastAsia="宋体" w:cs="宋体"/>
          <w:szCs w:val="36"/>
          <w:lang w:val="en-US"/>
        </w:rPr>
        <w:t>合同条款及格式</w:t>
      </w:r>
      <w:r>
        <w:tab/>
      </w:r>
      <w:r>
        <w:fldChar w:fldCharType="begin"/>
      </w:r>
      <w:r>
        <w:instrText xml:space="preserve"> PAGEREF _Toc28553 \h </w:instrText>
      </w:r>
      <w:r>
        <w:fldChar w:fldCharType="separate"/>
      </w:r>
      <w:r>
        <w:t>35</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51AB1E72">
      <w:pPr>
        <w:pStyle w:val="17"/>
        <w:tabs>
          <w:tab w:val="right" w:leader="dot" w:pos="9525"/>
        </w:tabs>
      </w:pPr>
      <w:r>
        <w:rPr>
          <w:rFonts w:hint="eastAsia" w:asciiTheme="minorEastAsia" w:hAnsiTheme="minorEastAsia" w:cstheme="minorEastAsia"/>
          <w:color w:val="000000" w:themeColor="text1"/>
          <w:szCs w:val="24"/>
          <w14:textFill>
            <w14:solidFill>
              <w14:schemeClr w14:val="tx1"/>
            </w14:solidFill>
          </w14:textFill>
        </w:rPr>
        <w:fldChar w:fldCharType="begin"/>
      </w:r>
      <w:r>
        <w:rPr>
          <w:rFonts w:hint="eastAsia" w:asciiTheme="minorEastAsia" w:hAnsiTheme="minorEastAsia" w:cstheme="minorEastAsia"/>
          <w:szCs w:val="24"/>
        </w:rPr>
        <w:instrText xml:space="preserve"> HYPERLINK \l _Toc27582 </w:instrText>
      </w:r>
      <w:r>
        <w:rPr>
          <w:rFonts w:hint="eastAsia" w:asciiTheme="minorEastAsia" w:hAnsiTheme="minorEastAsia" w:cstheme="minorEastAsia"/>
          <w:szCs w:val="24"/>
        </w:rPr>
        <w:fldChar w:fldCharType="separate"/>
      </w:r>
      <w:r>
        <w:rPr>
          <w:rFonts w:hint="eastAsia" w:hAnsi="宋体" w:eastAsia="宋体" w:cs="宋体"/>
          <w:szCs w:val="36"/>
          <w:lang w:val="en-US" w:eastAsia="zh-CN"/>
        </w:rPr>
        <w:t>九、 附件</w:t>
      </w:r>
      <w:r>
        <w:tab/>
      </w:r>
      <w:r>
        <w:fldChar w:fldCharType="begin"/>
      </w:r>
      <w:r>
        <w:instrText xml:space="preserve"> PAGEREF _Toc27582 \h </w:instrText>
      </w:r>
      <w:r>
        <w:fldChar w:fldCharType="separate"/>
      </w:r>
      <w:r>
        <w:t>40</w:t>
      </w:r>
      <w:r>
        <w:fldChar w:fldCharType="end"/>
      </w:r>
      <w:r>
        <w:rPr>
          <w:rFonts w:hint="eastAsia" w:asciiTheme="minorEastAsia" w:hAnsiTheme="minorEastAsia" w:cstheme="minorEastAsia"/>
          <w:color w:val="000000" w:themeColor="text1"/>
          <w:szCs w:val="24"/>
          <w14:textFill>
            <w14:solidFill>
              <w14:schemeClr w14:val="tx1"/>
            </w14:solidFill>
          </w14:textFill>
        </w:rPr>
        <w:fldChar w:fldCharType="end"/>
      </w:r>
    </w:p>
    <w:p w14:paraId="4F611B3D">
      <w:pPr>
        <w:rPr>
          <w:rFonts w:hint="eastAsia" w:asciiTheme="minorEastAsia" w:hAnsiTheme="minorEastAsia" w:cstheme="minorEastAsia"/>
          <w:b/>
          <w:color w:val="000000" w:themeColor="text1"/>
          <w:sz w:val="30"/>
          <w:szCs w:val="36"/>
          <w:lang w:val="en-US"/>
          <w14:textFill>
            <w14:solidFill>
              <w14:schemeClr w14:val="tx1"/>
            </w14:solidFill>
          </w14:textFill>
        </w:rPr>
        <w:sectPr>
          <w:headerReference r:id="rId4" w:type="default"/>
          <w:footerReference r:id="rId5" w:type="default"/>
          <w:pgSz w:w="11906" w:h="16838"/>
          <w:pgMar w:top="1134" w:right="1134" w:bottom="1134" w:left="1247" w:header="851" w:footer="992" w:gutter="0"/>
          <w:pgNumType w:fmt="decimal" w:start="1"/>
          <w:cols w:space="0" w:num="1"/>
          <w:docGrid w:type="lines" w:linePitch="317" w:charSpace="0"/>
        </w:sectPr>
      </w:pPr>
      <w:r>
        <w:rPr>
          <w:rFonts w:hint="eastAsia" w:asciiTheme="minorEastAsia" w:hAnsiTheme="minorEastAsia" w:cstheme="minorEastAsia"/>
          <w:color w:val="000000" w:themeColor="text1"/>
          <w:szCs w:val="24"/>
          <w14:textFill>
            <w14:solidFill>
              <w14:schemeClr w14:val="tx1"/>
            </w14:solidFill>
          </w14:textFill>
        </w:rPr>
        <w:fldChar w:fldCharType="end"/>
      </w:r>
      <w:bookmarkStart w:id="0" w:name="_Toc32708"/>
    </w:p>
    <w:bookmarkEnd w:id="0"/>
    <w:p w14:paraId="78F6A466">
      <w:pPr>
        <w:pStyle w:val="13"/>
        <w:spacing w:after="120" w:line="480" w:lineRule="exact"/>
        <w:jc w:val="center"/>
        <w:outlineLvl w:val="0"/>
        <w:rPr>
          <w:rFonts w:hint="eastAsia" w:asciiTheme="minorEastAsia" w:hAnsiTheme="minorEastAsia" w:cstheme="minorEastAsia"/>
          <w:b/>
          <w:color w:val="000000" w:themeColor="text1"/>
          <w:sz w:val="28"/>
          <w:szCs w:val="28"/>
          <w:lang w:val="en-US"/>
          <w14:textFill>
            <w14:solidFill>
              <w14:schemeClr w14:val="tx1"/>
            </w14:solidFill>
          </w14:textFill>
        </w:rPr>
      </w:pPr>
      <w:bookmarkStart w:id="1" w:name="_Toc520"/>
      <w:bookmarkStart w:id="2" w:name="_Toc16563"/>
      <w:r>
        <w:rPr>
          <w:rFonts w:hint="eastAsia" w:asciiTheme="minorEastAsia" w:hAnsiTheme="minorEastAsia" w:cstheme="minorEastAsia"/>
          <w:b/>
          <w:color w:val="000000" w:themeColor="text1"/>
          <w:sz w:val="28"/>
          <w:szCs w:val="28"/>
          <w:lang w:val="en-US"/>
          <w14:textFill>
            <w14:solidFill>
              <w14:schemeClr w14:val="tx1"/>
            </w14:solidFill>
          </w14:textFill>
        </w:rPr>
        <w:t>一、询比采购公告</w:t>
      </w:r>
      <w:bookmarkEnd w:id="1"/>
      <w:bookmarkEnd w:id="2"/>
    </w:p>
    <w:p w14:paraId="56529EC5">
      <w:pPr>
        <w:spacing w:before="0" w:after="0" w:line="560" w:lineRule="exact"/>
        <w:ind w:firstLine="560" w:firstLineChars="200"/>
        <w:rPr>
          <w:rFonts w:hint="eastAsia" w:asciiTheme="minorEastAsia" w:hAnsiTheme="minorEastAsia" w:eastAsiaTheme="minorEastAsia" w:cstheme="minorEastAsia"/>
          <w:color w:val="000000" w:themeColor="text1"/>
          <w:sz w:val="28"/>
          <w:szCs w:val="28"/>
          <w:highlight w:val="yellow"/>
          <w:lang w:val="en-US" w:eastAsia="zh-CN"/>
          <w14:textFill>
            <w14:solidFill>
              <w14:schemeClr w14:val="tx1"/>
            </w14:solidFill>
          </w14:textFill>
        </w:rPr>
      </w:pPr>
      <w:bookmarkStart w:id="3" w:name="_Toc3069"/>
      <w:bookmarkStart w:id="4" w:name="_Toc14219"/>
      <w:r>
        <w:rPr>
          <w:rFonts w:hint="eastAsia" w:asciiTheme="minorEastAsia" w:hAnsiTheme="minorEastAsia" w:cstheme="minorEastAsia"/>
          <w:color w:val="000000" w:themeColor="text1"/>
          <w:sz w:val="28"/>
          <w:szCs w:val="28"/>
          <w:lang w:val="en-US"/>
          <w14:textFill>
            <w14:solidFill>
              <w14:schemeClr w14:val="tx1"/>
            </w14:solidFill>
          </w14:textFill>
        </w:rPr>
        <w:t>淮北矿业（集团）工程建设有限责任公司淮北高新区陶铝新材料产业园项目设计施工总承包冉邦地块北区—</w:t>
      </w:r>
      <w:r>
        <w:rPr>
          <w:rFonts w:hint="eastAsia" w:asciiTheme="minorEastAsia" w:hAnsiTheme="minorEastAsia" w:cstheme="minorEastAsia"/>
          <w:color w:val="000000" w:themeColor="text1"/>
          <w:sz w:val="28"/>
          <w:szCs w:val="28"/>
          <w:lang w:val="en-US" w:eastAsia="zh-CN"/>
          <w14:textFill>
            <w14:solidFill>
              <w14:schemeClr w14:val="tx1"/>
            </w14:solidFill>
          </w14:textFill>
        </w:rPr>
        <w:t>电梯</w:t>
      </w:r>
      <w:r>
        <w:rPr>
          <w:rFonts w:hint="eastAsia" w:asciiTheme="minorEastAsia" w:hAnsiTheme="minorEastAsia" w:cstheme="minorEastAsia"/>
          <w:color w:val="000000" w:themeColor="text1"/>
          <w:sz w:val="28"/>
          <w:szCs w:val="28"/>
          <w:lang w:val="en-US"/>
          <w14:textFill>
            <w14:solidFill>
              <w14:schemeClr w14:val="tx1"/>
            </w14:solidFill>
          </w14:textFill>
        </w:rPr>
        <w:t>询比采购</w:t>
      </w:r>
      <w:r>
        <w:rPr>
          <w:rFonts w:hint="eastAsia" w:asciiTheme="minorEastAsia" w:hAnsiTheme="minorEastAsia" w:cstheme="minorEastAsia"/>
          <w:color w:val="000000" w:themeColor="text1"/>
          <w:sz w:val="28"/>
          <w:szCs w:val="28"/>
          <w:lang w:val="en-US" w:eastAsia="zh-CN"/>
          <w14:textFill>
            <w14:solidFill>
              <w14:schemeClr w14:val="tx1"/>
            </w14:solidFill>
          </w14:textFill>
        </w:rPr>
        <w:t>（二次）</w:t>
      </w:r>
      <w:r>
        <w:rPr>
          <w:rFonts w:hint="eastAsia" w:asciiTheme="minorEastAsia" w:hAnsiTheme="minorEastAsia" w:cstheme="minorEastAsia"/>
          <w:color w:val="000000" w:themeColor="text1"/>
          <w:sz w:val="28"/>
          <w:szCs w:val="28"/>
          <w:lang w:val="en-US"/>
          <w14:textFill>
            <w14:solidFill>
              <w14:schemeClr w14:val="tx1"/>
            </w14:solidFill>
          </w14:textFill>
        </w:rPr>
        <w:t>已具备采购条件，</w:t>
      </w:r>
      <w:r>
        <w:rPr>
          <w:rFonts w:hint="eastAsia" w:asciiTheme="minorEastAsia" w:hAnsiTheme="minorEastAsia" w:cstheme="minorEastAsia"/>
          <w:color w:val="auto"/>
          <w:sz w:val="28"/>
          <w:szCs w:val="28"/>
          <w:highlight w:val="none"/>
          <w:lang w:val="en-US"/>
        </w:rPr>
        <w:t>现邀请各供应商参加询比采购活动</w:t>
      </w:r>
      <w:r>
        <w:rPr>
          <w:rFonts w:hint="eastAsia" w:asciiTheme="minorEastAsia" w:hAnsiTheme="minorEastAsia" w:cstheme="minorEastAsia"/>
          <w:color w:val="auto"/>
          <w:sz w:val="28"/>
          <w:szCs w:val="28"/>
          <w:highlight w:val="none"/>
          <w:lang w:val="en-US" w:eastAsia="zh-CN"/>
        </w:rPr>
        <w:t>。</w:t>
      </w:r>
    </w:p>
    <w:p w14:paraId="4625882D">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5" w:name="_Toc31824"/>
      <w:r>
        <w:rPr>
          <w:rFonts w:hint="eastAsia" w:asciiTheme="minorEastAsia" w:hAnsiTheme="minorEastAsia" w:cstheme="minorEastAsia"/>
          <w:color w:val="000000" w:themeColor="text1"/>
          <w:sz w:val="28"/>
          <w:szCs w:val="28"/>
          <w14:textFill>
            <w14:solidFill>
              <w14:schemeClr w14:val="tx1"/>
            </w14:solidFill>
          </w14:textFill>
        </w:rPr>
        <w:t>1</w:t>
      </w:r>
      <w:r>
        <w:rPr>
          <w:rFonts w:hint="eastAsia" w:asciiTheme="minorEastAsia" w:hAnsiTheme="minorEastAsia" w:cstheme="minorEastAsia"/>
          <w:color w:val="000000" w:themeColor="text1"/>
          <w:sz w:val="28"/>
          <w:szCs w:val="28"/>
          <w:lang w:val="en-US"/>
          <w14:textFill>
            <w14:solidFill>
              <w14:schemeClr w14:val="tx1"/>
            </w14:solidFill>
          </w14:textFill>
        </w:rPr>
        <w:t>.</w:t>
      </w:r>
      <w:r>
        <w:rPr>
          <w:rFonts w:hint="eastAsia" w:asciiTheme="minorEastAsia" w:hAnsiTheme="minorEastAsia" w:cstheme="minorEastAsia"/>
          <w:color w:val="000000" w:themeColor="text1"/>
          <w:sz w:val="28"/>
          <w:szCs w:val="28"/>
          <w14:textFill>
            <w14:solidFill>
              <w14:schemeClr w14:val="tx1"/>
            </w14:solidFill>
          </w14:textFill>
        </w:rPr>
        <w:t>项目</w:t>
      </w:r>
      <w:r>
        <w:rPr>
          <w:rFonts w:hint="eastAsia" w:asciiTheme="minorEastAsia" w:hAnsiTheme="minorEastAsia" w:cstheme="minorEastAsia"/>
          <w:color w:val="000000" w:themeColor="text1"/>
          <w:sz w:val="28"/>
          <w:szCs w:val="28"/>
          <w:lang w:val="en-US"/>
          <w14:textFill>
            <w14:solidFill>
              <w14:schemeClr w14:val="tx1"/>
            </w14:solidFill>
          </w14:textFill>
        </w:rPr>
        <w:t>概况和采购要求</w:t>
      </w:r>
      <w:bookmarkEnd w:id="3"/>
      <w:bookmarkEnd w:id="4"/>
      <w:bookmarkEnd w:id="5"/>
    </w:p>
    <w:p w14:paraId="482945A5">
      <w:pPr>
        <w:snapToGrid w:val="0"/>
        <w:spacing w:line="560" w:lineRule="exact"/>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1.1项目名称：</w:t>
      </w:r>
      <w:r>
        <w:rPr>
          <w:rFonts w:hint="eastAsia" w:asciiTheme="minorEastAsia" w:hAnsiTheme="minorEastAsia" w:cstheme="minorEastAsia"/>
          <w:color w:val="auto"/>
          <w:sz w:val="24"/>
          <w:szCs w:val="24"/>
          <w:highlight w:val="none"/>
          <w:u w:val="single"/>
        </w:rPr>
        <w:t>淮北矿业（集团）工程建设有限责任公司淮北高新区陶铝新材料产业园项目设计施工总承包冉邦地块北区—</w:t>
      </w:r>
      <w:r>
        <w:rPr>
          <w:rFonts w:hint="eastAsia" w:asciiTheme="minorEastAsia" w:hAnsiTheme="minorEastAsia" w:cstheme="minorEastAsia"/>
          <w:color w:val="auto"/>
          <w:sz w:val="24"/>
          <w:szCs w:val="24"/>
          <w:highlight w:val="none"/>
          <w:u w:val="single"/>
          <w:lang w:val="en-US" w:eastAsia="zh-CN"/>
        </w:rPr>
        <w:t>电梯</w:t>
      </w:r>
      <w:r>
        <w:rPr>
          <w:rFonts w:hint="eastAsia" w:asciiTheme="minorEastAsia" w:hAnsiTheme="minorEastAsia" w:cstheme="minorEastAsia"/>
          <w:color w:val="auto"/>
          <w:sz w:val="24"/>
          <w:szCs w:val="24"/>
          <w:highlight w:val="none"/>
          <w:u w:val="single"/>
        </w:rPr>
        <w:t xml:space="preserve">询比采购        </w:t>
      </w:r>
      <w:r>
        <w:rPr>
          <w:rFonts w:hint="eastAsia" w:asciiTheme="minorEastAsia" w:hAnsiTheme="minorEastAsia" w:cstheme="minorEastAsia"/>
          <w:color w:val="auto"/>
          <w:sz w:val="24"/>
          <w:szCs w:val="24"/>
          <w:highlight w:val="none"/>
        </w:rPr>
        <w:t xml:space="preserve">     </w:t>
      </w:r>
    </w:p>
    <w:p w14:paraId="77ECDAB4">
      <w:pPr>
        <w:spacing w:before="0" w:after="0" w:line="560" w:lineRule="exact"/>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rPr>
        <w:t>1.2</w:t>
      </w:r>
      <w:r>
        <w:rPr>
          <w:rFonts w:hint="eastAsia" w:asciiTheme="minorEastAsia" w:hAnsiTheme="minorEastAsia" w:cstheme="minorEastAsia"/>
          <w:color w:val="auto"/>
          <w:sz w:val="24"/>
          <w:szCs w:val="24"/>
          <w:highlight w:val="none"/>
        </w:rPr>
        <w:t>采购人：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rPr>
        <w:t xml:space="preserve"> </w:t>
      </w:r>
      <w:r>
        <w:rPr>
          <w:rFonts w:hint="eastAsia" w:asciiTheme="minorEastAsia" w:hAnsiTheme="minorEastAsia" w:cstheme="minorEastAsia"/>
          <w:color w:val="auto"/>
          <w:sz w:val="24"/>
          <w:szCs w:val="24"/>
          <w:highlight w:val="none"/>
          <w:u w:val="single"/>
        </w:rPr>
        <w:t>淮北矿业（集团）工程建设有限责任公司</w:t>
      </w:r>
      <w:r>
        <w:rPr>
          <w:rFonts w:hint="eastAsia" w:asciiTheme="minorEastAsia" w:hAnsiTheme="minorEastAsia" w:cstheme="minorEastAsia"/>
          <w:color w:val="auto"/>
          <w:sz w:val="24"/>
          <w:szCs w:val="24"/>
          <w:highlight w:val="none"/>
          <w:u w:val="single"/>
          <w:lang w:val="en-US"/>
        </w:rPr>
        <w:t xml:space="preserve">                </w:t>
      </w:r>
      <w:r>
        <w:rPr>
          <w:rFonts w:hint="eastAsia" w:asciiTheme="minorEastAsia" w:hAnsiTheme="minorEastAsia" w:cstheme="minorEastAsia"/>
          <w:color w:val="auto"/>
          <w:sz w:val="24"/>
          <w:szCs w:val="24"/>
          <w:highlight w:val="none"/>
          <w:lang w:val="en-US"/>
        </w:rPr>
        <w:t xml:space="preserve"> </w:t>
      </w:r>
    </w:p>
    <w:p w14:paraId="3A6C060D">
      <w:pPr>
        <w:spacing w:before="0" w:after="0" w:line="560" w:lineRule="exact"/>
        <w:ind w:firstLine="480" w:firstLineChars="200"/>
        <w:rPr>
          <w:rFonts w:hint="eastAsia" w:asciiTheme="minorEastAsia" w:hAnsiTheme="minorEastAsia" w:cstheme="minorEastAsia"/>
          <w:color w:val="auto"/>
          <w:sz w:val="24"/>
          <w:szCs w:val="24"/>
          <w:highlight w:val="none"/>
          <w:u w:val="single"/>
          <w:lang w:val="en-US"/>
        </w:rPr>
      </w:pPr>
      <w:r>
        <w:rPr>
          <w:rFonts w:hint="eastAsia" w:asciiTheme="minorEastAsia" w:hAnsiTheme="minorEastAsia" w:cstheme="minorEastAsia"/>
          <w:color w:val="auto"/>
          <w:sz w:val="24"/>
          <w:szCs w:val="24"/>
          <w:highlight w:val="none"/>
          <w:lang w:val="en-US"/>
        </w:rPr>
        <w:t>1.3</w:t>
      </w:r>
      <w:r>
        <w:rPr>
          <w:rFonts w:hint="eastAsia" w:asciiTheme="minorEastAsia" w:hAnsiTheme="minorEastAsia" w:cstheme="minorEastAsia"/>
          <w:color w:val="auto"/>
          <w:sz w:val="24"/>
          <w:szCs w:val="24"/>
          <w:highlight w:val="none"/>
        </w:rPr>
        <w:t>项目概况：</w:t>
      </w:r>
      <w:r>
        <w:rPr>
          <w:rFonts w:hint="eastAsia" w:asciiTheme="minorEastAsia" w:hAnsiTheme="minorEastAsia" w:cstheme="minorEastAsia"/>
          <w:color w:val="auto"/>
          <w:sz w:val="24"/>
          <w:szCs w:val="24"/>
          <w:highlight w:val="none"/>
          <w:u w:val="single"/>
          <w:lang w:val="en-US"/>
        </w:rPr>
        <w:t>本工程位于淮北市高新区龙湖工业园龙旺路32号，该厂区用地面积79383.7㎡，总建筑面积43122㎡。</w:t>
      </w:r>
    </w:p>
    <w:p w14:paraId="14CD646A">
      <w:pPr>
        <w:spacing w:before="0" w:after="0" w:line="560" w:lineRule="exact"/>
        <w:ind w:firstLine="480" w:firstLineChars="200"/>
        <w:rPr>
          <w:rFonts w:hint="default" w:ascii="宋体" w:hAnsi="宋体" w:eastAsia="宋体" w:cs="宋体"/>
          <w:color w:val="auto"/>
          <w:sz w:val="24"/>
          <w:szCs w:val="24"/>
          <w:highlight w:val="none"/>
          <w:u w:val="single"/>
          <w:lang w:val="en-US" w:eastAsia="zh-CN"/>
        </w:rPr>
      </w:pPr>
      <w:r>
        <w:rPr>
          <w:rFonts w:hint="eastAsia" w:asciiTheme="minorEastAsia" w:hAnsiTheme="minorEastAsia" w:cstheme="minorEastAsia"/>
          <w:color w:val="auto"/>
          <w:sz w:val="24"/>
          <w:szCs w:val="24"/>
          <w:highlight w:val="none"/>
          <w:lang w:val="en-US"/>
        </w:rPr>
        <w:t>1.4</w:t>
      </w:r>
      <w:r>
        <w:rPr>
          <w:rFonts w:hint="eastAsia" w:asciiTheme="minorEastAsia" w:hAnsiTheme="minorEastAsia" w:cstheme="minorEastAsia"/>
          <w:color w:val="auto"/>
          <w:sz w:val="24"/>
          <w:szCs w:val="24"/>
          <w:highlight w:val="none"/>
        </w:rPr>
        <w:t xml:space="preserve"> 采购范围：</w:t>
      </w:r>
      <w:r>
        <w:rPr>
          <w:rFonts w:hint="eastAsia" w:asciiTheme="minorEastAsia" w:hAnsiTheme="minorEastAsia" w:cstheme="minorEastAsia"/>
          <w:color w:val="auto"/>
          <w:sz w:val="24"/>
          <w:szCs w:val="24"/>
          <w:highlight w:val="none"/>
          <w:u w:val="single"/>
          <w:lang w:val="en-US"/>
        </w:rPr>
        <w:t xml:space="preserve"> </w:t>
      </w:r>
      <w:r>
        <w:rPr>
          <w:rFonts w:hint="eastAsia" w:ascii="宋体" w:hAnsi="宋体" w:eastAsia="宋体" w:cs="宋体"/>
          <w:color w:val="auto"/>
          <w:sz w:val="24"/>
          <w:szCs w:val="24"/>
          <w:highlight w:val="none"/>
          <w:u w:val="single"/>
          <w:lang w:val="en-US" w:eastAsia="zh-CN"/>
        </w:rPr>
        <w:t>1#厂房附楼、办公楼各加装电梯一台，共计2台。本项目推荐品牌为三菱电梯、日立电梯、通力电梯、奥的斯电梯、迅达电梯、蒂升TKE电梯；(以上品牌仅作推荐不作限制，报价人可选用其他替代品牌，但替代品牌档次应不低于或相当于以上推荐品牌)，另所提供品牌电梯参数须满足采购人要求。</w:t>
      </w:r>
    </w:p>
    <w:p w14:paraId="4DB871AE">
      <w:pPr>
        <w:spacing w:before="0" w:after="0" w:line="560" w:lineRule="exact"/>
        <w:ind w:firstLine="480" w:firstLineChars="200"/>
        <w:rPr>
          <w:rFonts w:hint="eastAsia" w:asciiTheme="minorEastAsia" w:hAnsiTheme="minorEastAsia" w:eastAsiaTheme="minorEastAsia" w:cstheme="minorEastAsia"/>
          <w:color w:val="auto"/>
          <w:sz w:val="24"/>
          <w:szCs w:val="24"/>
          <w:highlight w:val="none"/>
          <w:u w:val="single"/>
          <w:lang w:val="en-US" w:eastAsia="zh-CN" w:bidi="ar-SA"/>
        </w:rPr>
      </w:pPr>
      <w:r>
        <w:rPr>
          <w:rFonts w:hint="eastAsia" w:asciiTheme="minorEastAsia" w:hAnsiTheme="minorEastAsia" w:cstheme="minorEastAsia"/>
          <w:color w:val="auto"/>
          <w:sz w:val="24"/>
          <w:szCs w:val="24"/>
          <w:highlight w:val="none"/>
          <w:lang w:val="en-US"/>
        </w:rPr>
        <w:t>1.5 最高限价：</w:t>
      </w:r>
      <w:r>
        <w:rPr>
          <w:rFonts w:hint="eastAsia" w:asciiTheme="minorEastAsia" w:hAnsiTheme="minorEastAsia" w:eastAsiaTheme="minorEastAsia" w:cstheme="minorEastAsia"/>
          <w:color w:val="auto"/>
          <w:sz w:val="24"/>
          <w:szCs w:val="24"/>
          <w:highlight w:val="none"/>
          <w:u w:val="single"/>
          <w:lang w:val="en-US" w:eastAsia="zh-CN" w:bidi="ar-SA"/>
        </w:rPr>
        <w:t>本项目</w:t>
      </w:r>
      <w:r>
        <w:rPr>
          <w:rFonts w:hint="eastAsia" w:asciiTheme="minorEastAsia" w:hAnsiTheme="minorEastAsia" w:cstheme="minorEastAsia"/>
          <w:color w:val="auto"/>
          <w:sz w:val="24"/>
          <w:szCs w:val="24"/>
          <w:highlight w:val="none"/>
          <w:u w:val="single"/>
          <w:lang w:val="en-US" w:eastAsia="zh-CN" w:bidi="ar-SA"/>
        </w:rPr>
        <w:t>单价</w:t>
      </w:r>
      <w:r>
        <w:rPr>
          <w:rFonts w:hint="eastAsia" w:asciiTheme="minorEastAsia" w:hAnsiTheme="minorEastAsia" w:eastAsiaTheme="minorEastAsia" w:cstheme="minorEastAsia"/>
          <w:color w:val="auto"/>
          <w:sz w:val="24"/>
          <w:szCs w:val="24"/>
          <w:highlight w:val="none"/>
          <w:u w:val="single"/>
          <w:lang w:val="en-US" w:eastAsia="zh-CN" w:bidi="ar-SA"/>
        </w:rPr>
        <w:t>报价，</w:t>
      </w:r>
      <w:r>
        <w:rPr>
          <w:rFonts w:hint="eastAsia" w:asciiTheme="minorEastAsia" w:hAnsiTheme="minorEastAsia" w:cstheme="minorEastAsia"/>
          <w:color w:val="auto"/>
          <w:sz w:val="24"/>
          <w:szCs w:val="24"/>
          <w:highlight w:val="none"/>
          <w:u w:val="single"/>
          <w:lang w:val="en-US" w:eastAsia="zh-CN" w:bidi="ar-SA"/>
        </w:rPr>
        <w:t>含税控制</w:t>
      </w:r>
      <w:r>
        <w:rPr>
          <w:rFonts w:hint="eastAsia" w:asciiTheme="minorEastAsia" w:hAnsiTheme="minorEastAsia" w:eastAsiaTheme="minorEastAsia" w:cstheme="minorEastAsia"/>
          <w:color w:val="auto"/>
          <w:sz w:val="24"/>
          <w:szCs w:val="24"/>
          <w:highlight w:val="none"/>
          <w:u w:val="single"/>
          <w:lang w:val="en-US" w:eastAsia="zh-CN" w:bidi="ar-SA"/>
        </w:rPr>
        <w:t>总价</w:t>
      </w:r>
      <w:r>
        <w:rPr>
          <w:rFonts w:hint="eastAsia" w:asciiTheme="minorEastAsia" w:hAnsiTheme="minorEastAsia" w:cstheme="minorEastAsia"/>
          <w:color w:val="auto"/>
          <w:sz w:val="24"/>
          <w:szCs w:val="24"/>
          <w:highlight w:val="none"/>
          <w:u w:val="single"/>
          <w:lang w:val="en-US" w:eastAsia="zh-CN" w:bidi="ar-SA"/>
        </w:rPr>
        <w:t>333000</w:t>
      </w:r>
      <w:r>
        <w:rPr>
          <w:rFonts w:hint="eastAsia" w:asciiTheme="minorEastAsia" w:hAnsiTheme="minorEastAsia" w:eastAsiaTheme="minorEastAsia" w:cstheme="minorEastAsia"/>
          <w:color w:val="auto"/>
          <w:sz w:val="24"/>
          <w:szCs w:val="24"/>
          <w:highlight w:val="none"/>
          <w:u w:val="single"/>
          <w:lang w:val="en-US" w:eastAsia="zh-CN" w:bidi="ar-SA"/>
        </w:rPr>
        <w:t>元。</w:t>
      </w:r>
    </w:p>
    <w:p w14:paraId="5E557B0C">
      <w:pPr>
        <w:spacing w:before="0" w:after="0" w:line="560" w:lineRule="exact"/>
        <w:ind w:firstLine="480" w:firstLineChars="200"/>
        <w:rPr>
          <w:rFonts w:hint="eastAsia" w:asciiTheme="minorEastAsia" w:hAnsiTheme="minorEastAsia" w:cstheme="minorEastAsia"/>
          <w:color w:val="auto"/>
          <w:sz w:val="24"/>
          <w:szCs w:val="24"/>
          <w:highlight w:val="none"/>
          <w:u w:val="single"/>
        </w:rPr>
      </w:pPr>
      <w:r>
        <w:rPr>
          <w:rFonts w:hint="eastAsia" w:asciiTheme="minorEastAsia" w:hAnsiTheme="minorEastAsia" w:cstheme="minorEastAsia"/>
          <w:color w:val="auto"/>
          <w:sz w:val="24"/>
          <w:szCs w:val="24"/>
          <w:highlight w:val="none"/>
          <w:lang w:val="en-US"/>
        </w:rPr>
        <w:t>1.6</w:t>
      </w:r>
      <w:r>
        <w:rPr>
          <w:rFonts w:hint="eastAsia" w:asciiTheme="minorEastAsia" w:hAnsiTheme="minorEastAsia" w:cstheme="minorEastAsia"/>
          <w:color w:val="auto"/>
          <w:sz w:val="24"/>
          <w:szCs w:val="24"/>
          <w:highlight w:val="none"/>
        </w:rPr>
        <w:t>交货期：</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rPr>
        <w:t xml:space="preserve">   满足甲方现场</w:t>
      </w:r>
      <w:r>
        <w:rPr>
          <w:rFonts w:hint="eastAsia" w:asciiTheme="minorEastAsia" w:hAnsiTheme="minorEastAsia" w:cstheme="minorEastAsia"/>
          <w:color w:val="auto"/>
          <w:sz w:val="24"/>
          <w:szCs w:val="24"/>
          <w:highlight w:val="none"/>
          <w:u w:val="single"/>
          <w:lang w:val="en-US" w:eastAsia="zh-CN"/>
        </w:rPr>
        <w:t>供货</w:t>
      </w:r>
      <w:r>
        <w:rPr>
          <w:rFonts w:hint="eastAsia" w:asciiTheme="minorEastAsia" w:hAnsiTheme="minorEastAsia" w:cstheme="minorEastAsia"/>
          <w:color w:val="auto"/>
          <w:sz w:val="24"/>
          <w:szCs w:val="24"/>
          <w:highlight w:val="none"/>
          <w:u w:val="single"/>
          <w:lang w:val="en-US"/>
        </w:rPr>
        <w:t xml:space="preserve">进度要求 </w:t>
      </w:r>
      <w:r>
        <w:rPr>
          <w:rFonts w:hint="eastAsia" w:asciiTheme="minorEastAsia" w:hAnsiTheme="minorEastAsia" w:cstheme="minorEastAsia"/>
          <w:color w:val="auto"/>
          <w:sz w:val="24"/>
          <w:szCs w:val="24"/>
          <w:highlight w:val="none"/>
          <w:u w:val="single"/>
        </w:rPr>
        <w:t xml:space="preserve">  </w:t>
      </w:r>
    </w:p>
    <w:p w14:paraId="071EF564">
      <w:pPr>
        <w:spacing w:before="0" w:after="0" w:line="560" w:lineRule="exact"/>
        <w:ind w:firstLine="480" w:firstLineChars="200"/>
        <w:rPr>
          <w:rFonts w:hint="eastAsia" w:asciiTheme="minorEastAsia" w:hAnsiTheme="minorEastAsia" w:cstheme="minorEastAsia"/>
          <w:color w:val="auto"/>
          <w:sz w:val="24"/>
          <w:szCs w:val="24"/>
          <w:highlight w:val="none"/>
          <w:u w:val="single"/>
        </w:rPr>
      </w:pPr>
      <w:r>
        <w:rPr>
          <w:rFonts w:hint="eastAsia" w:asciiTheme="minorEastAsia" w:hAnsiTheme="minorEastAsia" w:cstheme="minorEastAsia"/>
          <w:color w:val="auto"/>
          <w:sz w:val="24"/>
          <w:szCs w:val="24"/>
          <w:highlight w:val="none"/>
          <w:lang w:val="en-US"/>
        </w:rPr>
        <w:t xml:space="preserve">1.7 </w:t>
      </w:r>
      <w:r>
        <w:rPr>
          <w:rFonts w:hint="eastAsia" w:asciiTheme="minorEastAsia" w:hAnsiTheme="minorEastAsia" w:cstheme="minorEastAsia"/>
          <w:color w:val="auto"/>
          <w:sz w:val="24"/>
          <w:szCs w:val="24"/>
          <w:highlight w:val="none"/>
        </w:rPr>
        <w:t>工程（交货）地点：</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rPr>
        <w:t xml:space="preserve"> 淮北市高新区龙湖工业园龙旺路32号 </w:t>
      </w:r>
      <w:r>
        <w:rPr>
          <w:rFonts w:hint="eastAsia" w:asciiTheme="minorEastAsia" w:hAnsiTheme="minorEastAsia" w:cstheme="minorEastAsia"/>
          <w:color w:val="auto"/>
          <w:sz w:val="24"/>
          <w:szCs w:val="24"/>
          <w:highlight w:val="none"/>
          <w:u w:val="single"/>
        </w:rPr>
        <w:t xml:space="preserve">  </w:t>
      </w:r>
    </w:p>
    <w:p w14:paraId="3ED2F03A">
      <w:pPr>
        <w:spacing w:before="0" w:after="0" w:line="560" w:lineRule="exact"/>
        <w:ind w:firstLine="480" w:firstLineChars="200"/>
        <w:rPr>
          <w:rFonts w:hint="default" w:asciiTheme="minorEastAsia" w:hAnsiTheme="minorEastAsia" w:cstheme="minorEastAsia"/>
          <w:color w:val="FF0000"/>
          <w:sz w:val="24"/>
          <w:szCs w:val="24"/>
          <w:u w:val="single"/>
          <w:lang w:val="en-US"/>
        </w:rPr>
      </w:pPr>
      <w:r>
        <w:rPr>
          <w:rFonts w:hint="eastAsia" w:asciiTheme="minorEastAsia" w:hAnsiTheme="minorEastAsia" w:cstheme="minorEastAsia"/>
          <w:color w:val="000000" w:themeColor="text1"/>
          <w:sz w:val="24"/>
          <w:szCs w:val="24"/>
          <w:lang w:val="en-US"/>
          <w14:textFill>
            <w14:solidFill>
              <w14:schemeClr w14:val="tx1"/>
            </w14:solidFill>
          </w14:textFill>
        </w:rPr>
        <w:t>1.8</w:t>
      </w:r>
      <w:r>
        <w:rPr>
          <w:rFonts w:hint="eastAsia" w:asciiTheme="minorEastAsia" w:hAnsiTheme="minorEastAsia" w:cstheme="minorEastAsia"/>
          <w:color w:val="FF0000"/>
          <w:sz w:val="24"/>
          <w:szCs w:val="24"/>
        </w:rPr>
        <w:t xml:space="preserve"> </w:t>
      </w:r>
      <w:r>
        <w:rPr>
          <w:rFonts w:hint="eastAsia" w:asciiTheme="minorEastAsia" w:hAnsiTheme="minorEastAsia" w:cstheme="minorEastAsia"/>
          <w:color w:val="auto"/>
          <w:sz w:val="24"/>
          <w:szCs w:val="24"/>
        </w:rPr>
        <w:t>质量标准或主要技术性能指标：</w:t>
      </w:r>
      <w:r>
        <w:rPr>
          <w:rFonts w:hint="eastAsia" w:asciiTheme="minorEastAsia" w:hAnsiTheme="minorEastAsia" w:cstheme="minorEastAsia"/>
          <w:color w:val="auto"/>
          <w:sz w:val="24"/>
          <w:szCs w:val="24"/>
          <w:u w:val="single"/>
          <w:lang w:val="en-US" w:eastAsia="zh-CN"/>
        </w:rPr>
        <w:t>1）.质量标准；</w:t>
      </w:r>
      <w:r>
        <w:rPr>
          <w:rFonts w:hint="eastAsia" w:asciiTheme="minorEastAsia" w:hAnsiTheme="minorEastAsia" w:cstheme="minorEastAsia"/>
          <w:color w:val="auto"/>
          <w:sz w:val="24"/>
          <w:szCs w:val="24"/>
          <w:u w:val="single"/>
          <w:lang w:val="en-US"/>
        </w:rPr>
        <w:t>合格，按甲方与本项目签订的总承包合同有关质量的约定、国家行业现行的相关规范和验收标准及</w:t>
      </w:r>
      <w:r>
        <w:rPr>
          <w:rFonts w:hint="eastAsia" w:asciiTheme="minorEastAsia" w:hAnsiTheme="minorEastAsia" w:cstheme="minorEastAsia"/>
          <w:color w:val="auto"/>
          <w:sz w:val="24"/>
          <w:szCs w:val="24"/>
          <w:u w:val="single"/>
          <w:lang w:val="en-US" w:eastAsia="zh-CN"/>
        </w:rPr>
        <w:t>安徽省</w:t>
      </w:r>
      <w:r>
        <w:rPr>
          <w:rFonts w:hint="eastAsia" w:asciiTheme="minorEastAsia" w:hAnsiTheme="minorEastAsia" w:cstheme="minorEastAsia"/>
          <w:color w:val="auto"/>
          <w:sz w:val="24"/>
          <w:szCs w:val="24"/>
          <w:u w:val="single"/>
          <w:lang w:val="en-US"/>
        </w:rPr>
        <w:t>相关管理规定。</w:t>
      </w:r>
      <w:r>
        <w:rPr>
          <w:rFonts w:hint="eastAsia" w:asciiTheme="minorEastAsia" w:hAnsiTheme="minorEastAsia" w:cstheme="minorEastAsia"/>
          <w:color w:val="auto"/>
          <w:sz w:val="24"/>
          <w:szCs w:val="24"/>
          <w:u w:val="single"/>
          <w:lang w:val="en-US" w:eastAsia="zh-CN"/>
        </w:rPr>
        <w:t>2）主要技术性能指标详见第九章附件；《技术规格书》；技术规格书为采购文件的一部分，具有同等效力。投标单位须与项目部技术人员沟通后了解技术参数现场施工等情况后再投标。</w:t>
      </w:r>
    </w:p>
    <w:p w14:paraId="4F79CFE5">
      <w:pPr>
        <w:spacing w:before="0" w:after="0" w:line="560" w:lineRule="exact"/>
        <w:outlineLvl w:val="1"/>
        <w:rPr>
          <w:rFonts w:hint="eastAsia" w:asciiTheme="minorEastAsia" w:hAnsiTheme="minorEastAsia" w:cstheme="minorEastAsia"/>
          <w:color w:val="000000" w:themeColor="text1"/>
          <w:sz w:val="28"/>
          <w:szCs w:val="28"/>
          <w14:textFill>
            <w14:solidFill>
              <w14:schemeClr w14:val="tx1"/>
            </w14:solidFill>
          </w14:textFill>
        </w:rPr>
      </w:pPr>
      <w:bookmarkStart w:id="6" w:name="_Toc21350"/>
      <w:bookmarkStart w:id="7" w:name="_Toc29043"/>
      <w:bookmarkStart w:id="8" w:name="_Toc26250"/>
      <w:r>
        <w:rPr>
          <w:rFonts w:hint="eastAsia" w:asciiTheme="minorEastAsia" w:hAnsiTheme="minorEastAsia" w:cstheme="minorEastAsia"/>
          <w:color w:val="000000" w:themeColor="text1"/>
          <w:sz w:val="28"/>
          <w:szCs w:val="28"/>
          <w:lang w:val="en-US"/>
          <w14:textFill>
            <w14:solidFill>
              <w14:schemeClr w14:val="tx1"/>
            </w14:solidFill>
          </w14:textFill>
        </w:rPr>
        <w:t>2.</w:t>
      </w:r>
      <w:r>
        <w:rPr>
          <w:rFonts w:hint="eastAsia" w:asciiTheme="minorEastAsia" w:hAnsiTheme="minorEastAsia" w:cstheme="minorEastAsia"/>
          <w:color w:val="000000" w:themeColor="text1"/>
          <w:sz w:val="28"/>
          <w:szCs w:val="28"/>
          <w14:textFill>
            <w14:solidFill>
              <w14:schemeClr w14:val="tx1"/>
            </w14:solidFill>
          </w14:textFill>
        </w:rPr>
        <w:t>供应商资格要求</w:t>
      </w:r>
      <w:bookmarkEnd w:id="6"/>
      <w:bookmarkEnd w:id="7"/>
      <w:bookmarkEnd w:id="8"/>
    </w:p>
    <w:p w14:paraId="5DAE5D48">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w:t>
      </w:r>
      <w:r>
        <w:rPr>
          <w:rFonts w:hint="eastAsia" w:asciiTheme="minorEastAsia" w:hAnsiTheme="minorEastAsia" w:cstheme="minorEastAsia"/>
          <w:color w:val="000000" w:themeColor="text1"/>
          <w:sz w:val="24"/>
          <w:szCs w:val="24"/>
          <w14:textFill>
            <w14:solidFill>
              <w14:schemeClr w14:val="tx1"/>
            </w14:solidFill>
          </w14:textFill>
        </w:rPr>
        <w:t>.1</w:t>
      </w:r>
      <w:r>
        <w:rPr>
          <w:rFonts w:hint="eastAsia" w:asciiTheme="minorEastAsia" w:hAnsi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供应商应依法设立且满足如下要求：</w:t>
      </w:r>
    </w:p>
    <w:p w14:paraId="4AFDCC3B">
      <w:pPr>
        <w:spacing w:before="0" w:after="0" w:line="560" w:lineRule="exact"/>
        <w:ind w:firstLine="480" w:firstLineChars="200"/>
        <w:rPr>
          <w:rFonts w:hint="default" w:asciiTheme="minorEastAsia" w:hAnsiTheme="minorEastAsia" w:eastAsiaTheme="minorEastAsia" w:cstheme="minorEastAsia"/>
          <w:color w:val="auto"/>
          <w:sz w:val="24"/>
          <w:szCs w:val="24"/>
          <w:u w:val="single"/>
          <w:lang w:val="en-US" w:eastAsia="zh-CN"/>
        </w:rPr>
      </w:pPr>
      <w:r>
        <w:rPr>
          <w:rFonts w:hint="eastAsia" w:asciiTheme="minorEastAsia" w:hAnsiTheme="minorEastAsia" w:cstheme="minorEastAsia"/>
          <w:color w:val="000000" w:themeColor="text1"/>
          <w:sz w:val="24"/>
          <w:szCs w:val="24"/>
          <w14:textFill>
            <w14:solidFill>
              <w14:schemeClr w14:val="tx1"/>
            </w14:solidFill>
          </w14:textFill>
        </w:rPr>
        <w:t xml:space="preserve">(1)资质要求: </w:t>
      </w:r>
      <w:r>
        <w:rPr>
          <w:rFonts w:hint="eastAsia" w:asciiTheme="minorEastAsia" w:hAnsiTheme="minorEastAsia" w:eastAsiaTheme="minorEastAsia" w:cstheme="minorEastAsia"/>
          <w:color w:val="000000" w:themeColor="text1"/>
          <w:sz w:val="24"/>
          <w:szCs w:val="24"/>
          <w:u w:val="single"/>
          <w:lang w:val="ru-RU" w:eastAsia="zh-CN" w:bidi="ar-SA"/>
          <w14:textFill>
            <w14:solidFill>
              <w14:schemeClr w14:val="tx1"/>
            </w14:solidFill>
          </w14:textFill>
        </w:rPr>
        <w:t xml:space="preserve">具有独立法人资格。 </w:t>
      </w:r>
      <w:r>
        <w:rPr>
          <w:rFonts w:hint="eastAsia" w:asciiTheme="minorEastAsia" w:hAnsiTheme="minorEastAsia" w:eastAsiaTheme="minorEastAsia" w:cstheme="minorEastAsia"/>
          <w:color w:val="auto"/>
          <w:sz w:val="24"/>
          <w:szCs w:val="24"/>
          <w:u w:val="single"/>
          <w:lang w:val="ru-RU" w:eastAsia="zh-CN" w:bidi="ar-SA"/>
        </w:rPr>
        <w:t>具有有效的营业执照</w:t>
      </w:r>
      <w:r>
        <w:rPr>
          <w:rFonts w:hint="eastAsia" w:asciiTheme="minorEastAsia" w:hAnsiTheme="minorEastAsia" w:cstheme="minorEastAsia"/>
          <w:color w:val="auto"/>
          <w:sz w:val="24"/>
          <w:szCs w:val="24"/>
          <w:u w:val="single"/>
          <w:lang w:val="en-US" w:eastAsia="zh-CN" w:bidi="ar-SA"/>
        </w:rPr>
        <w:t>，提供品牌生产厂家的特种设备生产许可证，代理品牌须提供授权证明。</w:t>
      </w:r>
    </w:p>
    <w:p w14:paraId="461E26B9">
      <w:pPr>
        <w:widowControl w:val="0"/>
        <w:spacing w:line="540" w:lineRule="exact"/>
        <w:ind w:firstLine="480" w:firstLineChars="200"/>
        <w:rPr>
          <w:rFonts w:hint="eastAsia"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auto"/>
          <w:sz w:val="24"/>
          <w:szCs w:val="24"/>
        </w:rPr>
        <w:t>(2)业绩要求:</w:t>
      </w:r>
      <w:r>
        <w:rPr>
          <w:rFonts w:hint="eastAsia" w:asciiTheme="minorEastAsia" w:hAnsiTheme="minorEastAsia" w:cstheme="minorEastAsia"/>
          <w:color w:val="auto"/>
          <w:sz w:val="24"/>
          <w:szCs w:val="24"/>
          <w:u w:val="single"/>
          <w:lang w:val="en-US"/>
        </w:rPr>
        <w:t xml:space="preserve"> </w:t>
      </w:r>
      <w:r>
        <w:rPr>
          <w:rFonts w:hint="eastAsia" w:asciiTheme="minorEastAsia" w:hAnsiTheme="minorEastAsia" w:cstheme="minorEastAsia"/>
          <w:color w:val="auto"/>
          <w:sz w:val="24"/>
          <w:szCs w:val="24"/>
          <w:u w:val="single"/>
          <w:lang w:val="en-US" w:eastAsia="zh-CN"/>
        </w:rPr>
        <w:t xml:space="preserve">须提供17万元及以上的电梯销售相关合同业绩。 </w:t>
      </w:r>
      <w:r>
        <w:rPr>
          <w:rFonts w:hint="eastAsia" w:asciiTheme="minorEastAsia" w:hAnsiTheme="minorEastAsia" w:cstheme="minorEastAsia"/>
          <w:color w:val="000000" w:themeColor="text1"/>
          <w:sz w:val="24"/>
          <w14:textFill>
            <w14:solidFill>
              <w14:schemeClr w14:val="tx1"/>
            </w14:solidFill>
          </w14:textFill>
        </w:rPr>
        <w:t>（合同扫描件须至少包含合同签订双方盖章页、合同签订时间和业绩要求中的关键信息页）</w:t>
      </w:r>
    </w:p>
    <w:p w14:paraId="67C8D982">
      <w:pPr>
        <w:pStyle w:val="19"/>
        <w:spacing w:before="0" w:after="0" w:line="560" w:lineRule="exact"/>
        <w:ind w:firstLine="480" w:firstLineChars="200"/>
        <w:rPr>
          <w:rFonts w:hint="default" w:asciiTheme="minorEastAsia" w:hAnsiTheme="minorEastAsia" w:eastAsiaTheme="minorEastAsia" w:cstheme="minorEastAsia"/>
          <w:color w:val="000000" w:themeColor="text1"/>
          <w:szCs w:val="24"/>
          <w:u w:val="single"/>
          <w:lang w:val="en-US" w:eastAsia="zh-CN"/>
          <w14:textFill>
            <w14:solidFill>
              <w14:schemeClr w14:val="tx1"/>
            </w14:solidFill>
          </w14:textFill>
        </w:rPr>
      </w:pPr>
      <w:r>
        <w:rPr>
          <w:rFonts w:hint="eastAsia" w:asciiTheme="minorEastAsia" w:hAnsiTheme="minorEastAsia" w:cstheme="minorEastAsia"/>
          <w:color w:val="000000" w:themeColor="text1"/>
          <w:szCs w:val="24"/>
          <w14:textFill>
            <w14:solidFill>
              <w14:schemeClr w14:val="tx1"/>
            </w14:solidFill>
          </w14:textFill>
        </w:rPr>
        <w:t>(3)承担本项目的主要人员要求：</w:t>
      </w:r>
      <w:r>
        <w:rPr>
          <w:rFonts w:hint="eastAsia" w:asciiTheme="minorEastAsia" w:hAnsiTheme="minorEastAsia" w:cstheme="minorEastAsia"/>
          <w:color w:val="000000" w:themeColor="text1"/>
          <w:szCs w:val="24"/>
          <w:u w:val="single"/>
          <w14:textFill>
            <w14:solidFill>
              <w14:schemeClr w14:val="tx1"/>
            </w14:solidFill>
          </w14:textFill>
        </w:rPr>
        <w:t xml:space="preserve"> </w:t>
      </w:r>
      <w:r>
        <w:rPr>
          <w:rFonts w:hint="eastAsia" w:asciiTheme="minorEastAsia" w:hAnsiTheme="minorEastAsia" w:cstheme="minorEastAsia"/>
          <w:color w:val="000000" w:themeColor="text1"/>
          <w:szCs w:val="24"/>
          <w:highlight w:val="none"/>
          <w:u w:val="single"/>
          <w:lang w:val="en-US" w:eastAsia="zh-CN"/>
          <w14:textFill>
            <w14:solidFill>
              <w14:schemeClr w14:val="tx1"/>
            </w14:solidFill>
          </w14:textFill>
        </w:rPr>
        <w:t xml:space="preserve">/ </w:t>
      </w:r>
    </w:p>
    <w:p w14:paraId="69DD26EC">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(4)信誉要求：</w:t>
      </w:r>
      <w:r>
        <w:rPr>
          <w:rFonts w:hint="eastAsia" w:asciiTheme="minorEastAsia" w:hAnsiTheme="minorEastAsia" w:cstheme="minorEastAsia"/>
          <w:color w:val="000000" w:themeColor="text1"/>
          <w:sz w:val="24"/>
          <w:szCs w:val="24"/>
          <w:lang w:val="en-US"/>
          <w14:textFill>
            <w14:solidFill>
              <w14:schemeClr w14:val="tx1"/>
            </w14:solidFill>
          </w14:textFill>
        </w:rPr>
        <w:t>供应商</w:t>
      </w:r>
      <w:r>
        <w:rPr>
          <w:rFonts w:hint="eastAsia" w:asciiTheme="minorEastAsia" w:hAnsiTheme="minorEastAsia" w:cstheme="minorEastAsia"/>
          <w:color w:val="000000" w:themeColor="text1"/>
          <w:sz w:val="24"/>
          <w:szCs w:val="24"/>
          <w14:textFill>
            <w14:solidFill>
              <w14:schemeClr w14:val="tx1"/>
            </w14:solidFill>
          </w14:textFill>
        </w:rPr>
        <w:t>（含其不具有独立法人资格的分支机构）</w:t>
      </w:r>
      <w:r>
        <w:rPr>
          <w:rFonts w:hint="eastAsia" w:asciiTheme="minorEastAsia" w:hAnsiTheme="minorEastAsia" w:cstheme="minorEastAsia"/>
          <w:color w:val="000000" w:themeColor="text1"/>
          <w:sz w:val="24"/>
          <w:szCs w:val="24"/>
          <w:lang w:val="en-US"/>
          <w14:textFill>
            <w14:solidFill>
              <w14:schemeClr w14:val="tx1"/>
            </w14:solidFill>
          </w14:textFill>
        </w:rPr>
        <w:t>不得</w:t>
      </w:r>
      <w:r>
        <w:rPr>
          <w:rFonts w:hint="eastAsia" w:asciiTheme="minorEastAsia" w:hAnsiTheme="minorEastAsia" w:cstheme="minorEastAsia"/>
          <w:color w:val="000000" w:themeColor="text1"/>
          <w:sz w:val="24"/>
          <w:szCs w:val="24"/>
          <w14:textFill>
            <w14:solidFill>
              <w14:schemeClr w14:val="tx1"/>
            </w14:solidFill>
          </w14:textFill>
        </w:rPr>
        <w:t>存在以下不良信用记录：</w:t>
      </w:r>
    </w:p>
    <w:p w14:paraId="0487FEA7">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1）在国家企业信用信息公示系统（http://www.gsxt.gov.cn/）中被列入严重违法失信企业名单；</w:t>
      </w:r>
    </w:p>
    <w:p w14:paraId="53985D18">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2）在“</w:t>
      </w:r>
      <w:r>
        <w:rPr>
          <w:rFonts w:hint="eastAsia" w:asciiTheme="minorEastAsia" w:hAnsiTheme="minorEastAsia" w:cstheme="minorEastAsia"/>
          <w:color w:val="000000" w:themeColor="text1"/>
          <w:sz w:val="24"/>
          <w:szCs w:val="24"/>
          <w:lang w:val="en-US"/>
          <w14:textFill>
            <w14:solidFill>
              <w14:schemeClr w14:val="tx1"/>
            </w14:solidFill>
          </w14:textFill>
        </w:rPr>
        <w:t>中国执行信息公开网</w:t>
      </w:r>
      <w:r>
        <w:rPr>
          <w:rFonts w:hint="eastAsia" w:asciiTheme="minorEastAsia" w:hAnsiTheme="minorEastAsia" w:cstheme="minorEastAsia"/>
          <w:color w:val="000000" w:themeColor="text1"/>
          <w:sz w:val="24"/>
          <w:szCs w:val="24"/>
          <w14:textFill>
            <w14:solidFill>
              <w14:schemeClr w14:val="tx1"/>
            </w14:solidFill>
          </w14:textFill>
        </w:rPr>
        <w:t>”网站（https://zxgk.court.gov.cn/shixin/）中被列入失信被执行人名单；</w:t>
      </w:r>
    </w:p>
    <w:p w14:paraId="491B9EAF">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3）在“信用中国”网站（http://www.creditchina.gov.cn/）中被列入重大税收违法案件当事人名单；</w:t>
      </w:r>
    </w:p>
    <w:p w14:paraId="6C85D260">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w:t>
      </w:r>
      <w:r>
        <w:rPr>
          <w:rFonts w:hint="eastAsia" w:asciiTheme="minorEastAsia" w:hAnsiTheme="minorEastAsia" w:cstheme="minorEastAsia"/>
          <w:color w:val="000000" w:themeColor="text1"/>
          <w:sz w:val="24"/>
          <w:szCs w:val="24"/>
          <w14:textFill>
            <w14:solidFill>
              <w14:schemeClr w14:val="tx1"/>
            </w14:solidFill>
          </w14:textFill>
        </w:rPr>
        <w:t>法律法规或</w:t>
      </w:r>
      <w:r>
        <w:rPr>
          <w:rFonts w:hint="eastAsia" w:asciiTheme="minorEastAsia" w:hAnsiTheme="minorEastAsia" w:cstheme="minorEastAsia"/>
          <w:color w:val="000000" w:themeColor="text1"/>
          <w:sz w:val="24"/>
          <w:szCs w:val="24"/>
          <w:lang w:val="en-US"/>
          <w14:textFill>
            <w14:solidFill>
              <w14:schemeClr w14:val="tx1"/>
            </w14:solidFill>
          </w14:textFill>
        </w:rPr>
        <w:t>供应商</w:t>
      </w:r>
      <w:r>
        <w:rPr>
          <w:rFonts w:hint="eastAsia" w:asciiTheme="minorEastAsia" w:hAnsiTheme="minorEastAsia" w:cstheme="minorEastAsia"/>
          <w:color w:val="000000" w:themeColor="text1"/>
          <w:sz w:val="24"/>
          <w:szCs w:val="24"/>
          <w14:textFill>
            <w14:solidFill>
              <w14:schemeClr w14:val="tx1"/>
            </w14:solidFill>
          </w14:textFill>
        </w:rPr>
        <w:t>须知规定的其他情形。</w:t>
      </w:r>
    </w:p>
    <w:p w14:paraId="53DEEAA8">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w:t>
      </w: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 xml:space="preserve">2 </w:t>
      </w:r>
      <w:r>
        <w:rPr>
          <w:rFonts w:hint="eastAsia" w:asciiTheme="minorEastAsia" w:hAnsiTheme="minorEastAsia" w:cstheme="minorEastAsia"/>
          <w:color w:val="000000" w:themeColor="text1"/>
          <w:sz w:val="24"/>
          <w:szCs w:val="24"/>
          <w14:textFill>
            <w14:solidFill>
              <w14:schemeClr w14:val="tx1"/>
            </w14:solidFill>
          </w14:textFill>
        </w:rPr>
        <w:t>本次采购</w:t>
      </w:r>
      <w:r>
        <w:rPr>
          <w:rFonts w:hint="eastAsia" w:asciiTheme="minorEastAsia" w:hAnsiTheme="minorEastAsia" w:cstheme="minorEastAsia"/>
          <w:color w:val="000000" w:themeColor="text1"/>
          <w:sz w:val="24"/>
          <w:szCs w:val="24"/>
          <w:lang w:val="en-US"/>
          <w14:textFill>
            <w14:solidFill>
              <w14:schemeClr w14:val="tx1"/>
            </w14:solidFill>
          </w14:textFill>
        </w:rPr>
        <w:t>不接受</w:t>
      </w:r>
      <w:r>
        <w:rPr>
          <w:rFonts w:hint="eastAsia" w:asciiTheme="minorEastAsia" w:hAnsiTheme="minorEastAsia" w:cstheme="minorEastAsia"/>
          <w:color w:val="000000" w:themeColor="text1"/>
          <w:sz w:val="24"/>
          <w:szCs w:val="24"/>
          <w14:textFill>
            <w14:solidFill>
              <w14:schemeClr w14:val="tx1"/>
            </w14:solidFill>
          </w14:textFill>
        </w:rPr>
        <w:t>联合体。</w:t>
      </w:r>
    </w:p>
    <w:p w14:paraId="248DB717">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 xml:space="preserve">2.3 </w:t>
      </w:r>
      <w:r>
        <w:rPr>
          <w:rFonts w:hint="eastAsia" w:asciiTheme="minorEastAsia" w:hAnsiTheme="minorEastAsia" w:cstheme="minorEastAsia"/>
          <w:color w:val="000000" w:themeColor="text1"/>
          <w:sz w:val="24"/>
          <w:szCs w:val="24"/>
          <w14:textFill>
            <w14:solidFill>
              <w14:schemeClr w14:val="tx1"/>
            </w14:solidFill>
          </w14:textFill>
        </w:rPr>
        <w:t>成交供应商数量及成交份额：</w:t>
      </w:r>
    </w:p>
    <w:p w14:paraId="0451E98D">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☑一家</w:t>
      </w:r>
    </w:p>
    <w:p w14:paraId="19ACEF1D">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家，成交份额：第一名：</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；第二名：</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；第三名：</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w:t>
      </w:r>
    </w:p>
    <w:p w14:paraId="203C8167">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9" w:name="_Toc14751"/>
      <w:bookmarkStart w:id="10" w:name="_Toc22023"/>
      <w:bookmarkStart w:id="11" w:name="_Toc20009"/>
      <w:r>
        <w:rPr>
          <w:rFonts w:hint="eastAsia" w:asciiTheme="minorEastAsia" w:hAnsiTheme="minorEastAsia" w:cstheme="minorEastAsia"/>
          <w:color w:val="000000" w:themeColor="text1"/>
          <w:sz w:val="28"/>
          <w:szCs w:val="28"/>
          <w:lang w:val="en-US"/>
          <w14:textFill>
            <w14:solidFill>
              <w14:schemeClr w14:val="tx1"/>
            </w14:solidFill>
          </w14:textFill>
        </w:rPr>
        <w:t>3.采购文件的获取</w:t>
      </w:r>
      <w:bookmarkEnd w:id="9"/>
      <w:bookmarkEnd w:id="10"/>
      <w:bookmarkEnd w:id="11"/>
    </w:p>
    <w:p w14:paraId="25185D45">
      <w:pPr>
        <w:snapToGrid w:val="0"/>
        <w:spacing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bookmarkStart w:id="12" w:name="_Toc14411"/>
      <w:bookmarkStart w:id="13" w:name="_Toc4776"/>
      <w:r>
        <w:rPr>
          <w:rFonts w:hint="eastAsia" w:asciiTheme="minorEastAsia" w:hAnsiTheme="minorEastAsia" w:cstheme="minorEastAsia"/>
          <w:color w:val="000000" w:themeColor="text1"/>
          <w:sz w:val="24"/>
          <w:szCs w:val="24"/>
          <w14:textFill>
            <w14:solidFill>
              <w14:schemeClr w14:val="tx1"/>
            </w14:solidFill>
          </w14:textFill>
        </w:rPr>
        <w:t>（1）获取时间：</w:t>
      </w:r>
      <w:r>
        <w:rPr>
          <w:rFonts w:hint="eastAsia" w:asciiTheme="minorEastAsia" w:hAnsiTheme="minorEastAsia" w:cstheme="minorEastAsia"/>
          <w:color w:val="000000" w:themeColor="text1"/>
          <w:sz w:val="24"/>
          <w:szCs w:val="24"/>
          <w:u w:val="single"/>
          <w14:textFill>
            <w14:solidFill>
              <w14:schemeClr w14:val="tx1"/>
            </w14:solidFill>
          </w14:textFill>
        </w:rPr>
        <w:t>2026</w:t>
      </w:r>
      <w:r>
        <w:rPr>
          <w:rFonts w:hint="eastAsia" w:asciiTheme="minorEastAsia" w:hAnsiTheme="minorEastAsia" w:cstheme="minorEastAsia"/>
          <w:color w:val="000000" w:themeColor="text1"/>
          <w:sz w:val="24"/>
          <w:szCs w:val="24"/>
          <w14:textFill>
            <w14:solidFill>
              <w14:schemeClr w14:val="tx1"/>
            </w14:solidFill>
          </w14:textFill>
        </w:rPr>
        <w:t xml:space="preserve">年 </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7</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 xml:space="preserve"> 月</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27 </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 xml:space="preserve"> 日</w:t>
      </w:r>
      <w:r>
        <w:rPr>
          <w:rFonts w:hint="eastAsia" w:asciiTheme="minorEastAsia" w:hAnsiTheme="minorEastAsia" w:cstheme="minorEastAsia"/>
          <w:color w:val="000000" w:themeColor="text1"/>
          <w:sz w:val="24"/>
          <w:szCs w:val="24"/>
          <w:u w:val="single"/>
          <w14:textFill>
            <w14:solidFill>
              <w14:schemeClr w14:val="tx1"/>
            </w14:solidFill>
          </w14:textFill>
        </w:rPr>
        <w:t xml:space="preserve">   15  </w:t>
      </w:r>
      <w:r>
        <w:rPr>
          <w:rFonts w:hint="eastAsia" w:asciiTheme="minorEastAsia" w:hAnsiTheme="minorEastAsia" w:cstheme="minorEastAsia"/>
          <w:color w:val="000000" w:themeColor="text1"/>
          <w:sz w:val="24"/>
          <w:szCs w:val="24"/>
          <w14:textFill>
            <w14:solidFill>
              <w14:schemeClr w14:val="tx1"/>
            </w14:solidFill>
          </w14:textFill>
        </w:rPr>
        <w:t>时至</w:t>
      </w:r>
      <w:r>
        <w:rPr>
          <w:rFonts w:hint="eastAsia" w:asciiTheme="minorEastAsia" w:hAnsiTheme="minorEastAsia" w:cstheme="minorEastAsia"/>
          <w:color w:val="000000" w:themeColor="text1"/>
          <w:sz w:val="24"/>
          <w:szCs w:val="24"/>
          <w:u w:val="single"/>
          <w14:textFill>
            <w14:solidFill>
              <w14:schemeClr w14:val="tx1"/>
            </w14:solidFill>
          </w14:textFill>
        </w:rPr>
        <w:t xml:space="preserve"> 2026 </w:t>
      </w:r>
      <w:r>
        <w:rPr>
          <w:rFonts w:hint="eastAsia" w:asciiTheme="minorEastAsia" w:hAnsiTheme="minorEastAsia" w:cstheme="minorEastAsia"/>
          <w:color w:val="000000" w:themeColor="text1"/>
          <w:sz w:val="24"/>
          <w:szCs w:val="24"/>
          <w14:textFill>
            <w14:solidFill>
              <w14:schemeClr w14:val="tx1"/>
            </w14:solidFill>
          </w14:textFill>
        </w:rPr>
        <w:t>年</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7</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月</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30</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日</w:t>
      </w:r>
      <w:r>
        <w:rPr>
          <w:rFonts w:hint="eastAsia" w:asciiTheme="minorEastAsia" w:hAnsiTheme="minorEastAsia" w:cstheme="minorEastAsia"/>
          <w:color w:val="000000" w:themeColor="text1"/>
          <w:sz w:val="24"/>
          <w:szCs w:val="24"/>
          <w:u w:val="single"/>
          <w14:textFill>
            <w14:solidFill>
              <w14:schemeClr w14:val="tx1"/>
            </w14:solidFill>
          </w14:textFill>
        </w:rPr>
        <w:t xml:space="preserve"> 15     </w:t>
      </w:r>
      <w:r>
        <w:rPr>
          <w:rFonts w:hint="eastAsia" w:asciiTheme="minorEastAsia" w:hAnsiTheme="minorEastAsia" w:cstheme="minorEastAsia"/>
          <w:color w:val="000000" w:themeColor="text1"/>
          <w:sz w:val="24"/>
          <w:szCs w:val="24"/>
          <w14:textFill>
            <w14:solidFill>
              <w14:schemeClr w14:val="tx1"/>
            </w14:solidFill>
          </w14:textFill>
        </w:rPr>
        <w:t xml:space="preserve"> 时。</w:t>
      </w:r>
    </w:p>
    <w:p w14:paraId="13A1BEF3">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（2）</w:t>
      </w:r>
      <w:r>
        <w:rPr>
          <w:rFonts w:hint="eastAsia" w:asciiTheme="minorEastAsia" w:hAnsiTheme="minorEastAsia" w:cstheme="minorEastAsia"/>
          <w:color w:val="000000" w:themeColor="text1"/>
          <w:sz w:val="24"/>
          <w14:textFill>
            <w14:solidFill>
              <w14:schemeClr w14:val="tx1"/>
            </w14:solidFill>
          </w14:textFill>
        </w:rPr>
        <w:t>获取方式：须</w:t>
      </w:r>
      <w:r>
        <w:rPr>
          <w:rFonts w:hint="eastAsia" w:asciiTheme="minorEastAsia" w:hAnsiTheme="minorEastAsia" w:cstheme="minorEastAsia"/>
          <w:color w:val="000000" w:themeColor="text1"/>
          <w:sz w:val="24"/>
          <w:lang w:val="en-US"/>
          <w14:textFill>
            <w14:solidFill>
              <w14:schemeClr w14:val="tx1"/>
            </w14:solidFill>
          </w14:textFill>
        </w:rPr>
        <w:t>注册</w:t>
      </w:r>
      <w:r>
        <w:rPr>
          <w:rFonts w:hint="eastAsia" w:asciiTheme="minorEastAsia" w:hAnsiTheme="minorEastAsia" w:cstheme="minorEastAsia"/>
          <w:color w:val="000000" w:themeColor="text1"/>
          <w:sz w:val="24"/>
          <w14:textFill>
            <w14:solidFill>
              <w14:schemeClr w14:val="tx1"/>
            </w14:solidFill>
          </w14:textFill>
        </w:rPr>
        <w:t>登录淮北矿业电子招标采购平台（</w:t>
      </w:r>
      <w:r>
        <w:rPr>
          <w:rFonts w:hint="eastAsia" w:asciiTheme="minorEastAsia" w:hAnsiTheme="minorEastAsia" w:cstheme="minorEastAsia"/>
          <w:color w:val="000000" w:themeColor="text1"/>
          <w14:textFill>
            <w14:solidFill>
              <w14:schemeClr w14:val="tx1"/>
            </w14:solidFill>
          </w14:textFill>
        </w:rPr>
        <w:t>https://zbcg.hbcoal.com</w:t>
      </w: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报名</w:t>
      </w:r>
      <w:r>
        <w:rPr>
          <w:rFonts w:hint="eastAsia" w:asciiTheme="minorEastAsia" w:hAnsiTheme="minorEastAsia" w:cstheme="minorEastAsia"/>
          <w:color w:val="000000" w:themeColor="text1"/>
          <w:sz w:val="24"/>
          <w14:textFill>
            <w14:solidFill>
              <w14:schemeClr w14:val="tx1"/>
            </w14:solidFill>
          </w14:textFill>
        </w:rPr>
        <w:t>下载</w:t>
      </w:r>
      <w:r>
        <w:rPr>
          <w:rFonts w:hint="eastAsia" w:asciiTheme="minorEastAsia" w:hAnsiTheme="minorEastAsia" w:cstheme="minorEastAsia"/>
          <w:color w:val="000000" w:themeColor="text1"/>
          <w:sz w:val="24"/>
          <w:lang w:val="en-US"/>
          <w14:textFill>
            <w14:solidFill>
              <w14:schemeClr w14:val="tx1"/>
            </w14:solidFill>
          </w14:textFill>
        </w:rPr>
        <w:t>采购</w:t>
      </w:r>
      <w:r>
        <w:rPr>
          <w:rFonts w:hint="eastAsia" w:asciiTheme="minorEastAsia" w:hAnsiTheme="minorEastAsia" w:cstheme="minorEastAsia"/>
          <w:color w:val="000000" w:themeColor="text1"/>
          <w:sz w:val="24"/>
          <w14:textFill>
            <w14:solidFill>
              <w14:schemeClr w14:val="tx1"/>
            </w14:solidFill>
          </w14:textFill>
        </w:rPr>
        <w:t>文件及相关资料。</w:t>
      </w:r>
    </w:p>
    <w:p w14:paraId="72FBF7CB">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14" w:name="_Toc19584"/>
      <w:r>
        <w:rPr>
          <w:rFonts w:hint="eastAsia" w:asciiTheme="minorEastAsia" w:hAnsiTheme="minorEastAsia" w:cstheme="minorEastAsia"/>
          <w:color w:val="000000" w:themeColor="text1"/>
          <w:sz w:val="28"/>
          <w:szCs w:val="28"/>
          <w:lang w:val="en-US"/>
          <w14:textFill>
            <w14:solidFill>
              <w14:schemeClr w14:val="tx1"/>
            </w14:solidFill>
          </w14:textFill>
        </w:rPr>
        <w:t>4.响应文件的递交</w:t>
      </w:r>
      <w:bookmarkEnd w:id="12"/>
      <w:bookmarkEnd w:id="13"/>
      <w:bookmarkEnd w:id="14"/>
    </w:p>
    <w:p w14:paraId="20F3FDC5">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1</w:t>
      </w:r>
      <w:r>
        <w:rPr>
          <w:rFonts w:hint="eastAsia" w:asciiTheme="minorEastAsia" w:hAnsiTheme="minorEastAsia" w:cstheme="minorEastAsia"/>
          <w:color w:val="000000" w:themeColor="text1"/>
          <w:sz w:val="24"/>
          <w14:textFill>
            <w14:solidFill>
              <w14:schemeClr w14:val="tx1"/>
            </w14:solidFill>
          </w14:textFill>
        </w:rPr>
        <w:t>）递交方式：通过淮北矿业电子招标采购平台线上递交</w:t>
      </w:r>
      <w:r>
        <w:rPr>
          <w:rFonts w:hint="eastAsia" w:asciiTheme="minorEastAsia" w:hAnsiTheme="minorEastAsia" w:cstheme="minorEastAsia"/>
          <w:color w:val="000000" w:themeColor="text1"/>
          <w:sz w:val="24"/>
          <w:lang w:val="en-US"/>
          <w14:textFill>
            <w14:solidFill>
              <w14:schemeClr w14:val="tx1"/>
            </w14:solidFill>
          </w14:textFill>
        </w:rPr>
        <w:t>电响应</w:t>
      </w:r>
      <w:r>
        <w:rPr>
          <w:rFonts w:hint="eastAsia" w:asciiTheme="minorEastAsia" w:hAnsiTheme="minorEastAsia" w:cstheme="minorEastAsia"/>
          <w:color w:val="000000" w:themeColor="text1"/>
          <w:sz w:val="24"/>
          <w14:textFill>
            <w14:solidFill>
              <w14:schemeClr w14:val="tx1"/>
            </w14:solidFill>
          </w14:textFill>
        </w:rPr>
        <w:t>文件。</w:t>
      </w:r>
    </w:p>
    <w:p w14:paraId="3F9EC237">
      <w:pPr>
        <w:snapToGrid w:val="0"/>
        <w:spacing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bookmarkStart w:id="15" w:name="_Toc28550"/>
      <w:bookmarkStart w:id="16" w:name="_Toc19504"/>
      <w:r>
        <w:rPr>
          <w:rFonts w:hint="eastAsia" w:asciiTheme="minorEastAsia" w:hAnsiTheme="minorEastAsia" w:cstheme="minorEastAsia"/>
          <w:color w:val="000000" w:themeColor="text1"/>
          <w:sz w:val="24"/>
          <w:szCs w:val="24"/>
          <w14:textFill>
            <w14:solidFill>
              <w14:schemeClr w14:val="tx1"/>
            </w14:solidFill>
          </w14:textFill>
        </w:rPr>
        <w:t>（2）截止时间：</w:t>
      </w:r>
      <w:r>
        <w:rPr>
          <w:rFonts w:hint="eastAsia" w:asciiTheme="minorEastAsia" w:hAnsiTheme="minorEastAsia" w:cstheme="minorEastAsia"/>
          <w:color w:val="000000" w:themeColor="text1"/>
          <w:sz w:val="24"/>
          <w:szCs w:val="24"/>
          <w:u w:val="single"/>
          <w14:textFill>
            <w14:solidFill>
              <w14:schemeClr w14:val="tx1"/>
            </w14:solidFill>
          </w14:textFill>
        </w:rPr>
        <w:t xml:space="preserve"> 2026</w:t>
      </w:r>
      <w:r>
        <w:rPr>
          <w:rFonts w:hint="eastAsia" w:asciiTheme="minorEastAsia" w:hAnsiTheme="minorEastAsia" w:cstheme="minorEastAsia"/>
          <w:color w:val="000000" w:themeColor="text1"/>
          <w:sz w:val="24"/>
          <w:szCs w:val="24"/>
          <w14:textFill>
            <w14:solidFill>
              <w14:schemeClr w14:val="tx1"/>
            </w14:solidFill>
          </w14:textFill>
        </w:rPr>
        <w:t xml:space="preserve"> 年 </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7 </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月</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30</w:t>
      </w:r>
      <w:r>
        <w:rPr>
          <w:rFonts w:hint="eastAsia" w:asciiTheme="minorEastAsia" w:hAnsi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14:textFill>
            <w14:solidFill>
              <w14:schemeClr w14:val="tx1"/>
            </w14:solidFill>
          </w14:textFill>
        </w:rPr>
        <w:t>日</w:t>
      </w:r>
      <w:r>
        <w:rPr>
          <w:rFonts w:hint="eastAsia" w:asciiTheme="minorEastAsia" w:hAnsiTheme="minorEastAsia" w:cstheme="minorEastAsia"/>
          <w:color w:val="000000" w:themeColor="text1"/>
          <w:sz w:val="24"/>
          <w:szCs w:val="24"/>
          <w:u w:val="single"/>
          <w14:textFill>
            <w14:solidFill>
              <w14:schemeClr w14:val="tx1"/>
            </w14:solidFill>
          </w14:textFill>
        </w:rPr>
        <w:t xml:space="preserve">  15  </w:t>
      </w:r>
      <w:r>
        <w:rPr>
          <w:rFonts w:hint="eastAsia" w:asciiTheme="minorEastAsia" w:hAnsiTheme="minorEastAsia" w:cstheme="minorEastAsia"/>
          <w:color w:val="000000" w:themeColor="text1"/>
          <w:sz w:val="24"/>
          <w:szCs w:val="24"/>
          <w14:textFill>
            <w14:solidFill>
              <w14:schemeClr w14:val="tx1"/>
            </w14:solidFill>
          </w14:textFill>
        </w:rPr>
        <w:t>时。</w:t>
      </w:r>
    </w:p>
    <w:p w14:paraId="1A7C0139">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17" w:name="_Toc27621"/>
      <w:r>
        <w:rPr>
          <w:rFonts w:hint="eastAsia" w:asciiTheme="minorEastAsia" w:hAnsiTheme="minorEastAsia" w:cstheme="minorEastAsia"/>
          <w:color w:val="000000" w:themeColor="text1"/>
          <w:sz w:val="28"/>
          <w:szCs w:val="28"/>
          <w:lang w:val="en-US"/>
          <w14:textFill>
            <w14:solidFill>
              <w14:schemeClr w14:val="tx1"/>
            </w14:solidFill>
          </w14:textFill>
        </w:rPr>
        <w:t>5.资格审查方式</w:t>
      </w:r>
      <w:bookmarkEnd w:id="15"/>
      <w:bookmarkEnd w:id="16"/>
      <w:bookmarkEnd w:id="17"/>
    </w:p>
    <w:p w14:paraId="7B3754C8">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本</w:t>
      </w:r>
      <w:r>
        <w:rPr>
          <w:rFonts w:hint="eastAsia" w:asciiTheme="minorEastAsia" w:hAnsiTheme="minorEastAsia" w:cstheme="minorEastAsia"/>
          <w:color w:val="000000" w:themeColor="text1"/>
          <w:sz w:val="24"/>
          <w:szCs w:val="24"/>
          <w:lang w:val="en-US"/>
          <w14:textFill>
            <w14:solidFill>
              <w14:schemeClr w14:val="tx1"/>
            </w14:solidFill>
          </w14:textFill>
        </w:rPr>
        <w:t>采购</w:t>
      </w:r>
      <w:r>
        <w:rPr>
          <w:rFonts w:hint="eastAsia" w:asciiTheme="minorEastAsia" w:hAnsiTheme="minorEastAsia" w:cstheme="minorEastAsia"/>
          <w:color w:val="000000" w:themeColor="text1"/>
          <w:sz w:val="24"/>
          <w:szCs w:val="24"/>
          <w14:textFill>
            <w14:solidFill>
              <w14:schemeClr w14:val="tx1"/>
            </w14:solidFill>
          </w14:textFill>
        </w:rPr>
        <w:t>项目采用资格后审方式进行资格审查。</w:t>
      </w:r>
    </w:p>
    <w:p w14:paraId="513C4FA5">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18" w:name="_Toc13562"/>
      <w:bookmarkStart w:id="19" w:name="_Toc30453"/>
      <w:bookmarkStart w:id="20" w:name="_Toc17548"/>
      <w:r>
        <w:rPr>
          <w:rFonts w:hint="eastAsia" w:asciiTheme="minorEastAsia" w:hAnsiTheme="minorEastAsia" w:cstheme="minorEastAsia"/>
          <w:color w:val="000000" w:themeColor="text1"/>
          <w:sz w:val="28"/>
          <w:szCs w:val="28"/>
          <w:lang w:val="en-US"/>
          <w14:textFill>
            <w14:solidFill>
              <w14:schemeClr w14:val="tx1"/>
            </w14:solidFill>
          </w14:textFill>
        </w:rPr>
        <w:t>6.评审办法</w:t>
      </w:r>
      <w:bookmarkEnd w:id="18"/>
      <w:bookmarkEnd w:id="19"/>
      <w:bookmarkEnd w:id="20"/>
    </w:p>
    <w:p w14:paraId="10E1930B">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本</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采购</w:t>
      </w:r>
      <w:r>
        <w:rPr>
          <w:rFonts w:hint="eastAsia" w:asciiTheme="minorEastAsia" w:hAnsiTheme="minorEastAsia" w:cstheme="minorEastAsia"/>
          <w:color w:val="000000" w:themeColor="text1"/>
          <w:sz w:val="24"/>
          <w:szCs w:val="24"/>
          <w:highlight w:val="none"/>
          <w14:textFill>
            <w14:solidFill>
              <w14:schemeClr w14:val="tx1"/>
            </w14:solidFill>
          </w14:textFill>
        </w:rPr>
        <w:t>项目评</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审</w:t>
      </w:r>
      <w:r>
        <w:rPr>
          <w:rFonts w:hint="eastAsia" w:asciiTheme="minorEastAsia" w:hAnsiTheme="minorEastAsia" w:cstheme="minorEastAsia"/>
          <w:color w:val="000000" w:themeColor="text1"/>
          <w:sz w:val="24"/>
          <w:szCs w:val="24"/>
          <w:highlight w:val="none"/>
          <w14:textFill>
            <w14:solidFill>
              <w14:schemeClr w14:val="tx1"/>
            </w14:solidFill>
          </w14:textFill>
        </w:rPr>
        <w:t>办法采用</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经评审最低价法</w:t>
      </w:r>
      <w:r>
        <w:rPr>
          <w:rFonts w:hint="eastAsia" w:asciiTheme="minorEastAsia" w:hAnsiTheme="minorEastAsia" w:cstheme="minorEastAsia"/>
          <w:color w:val="000000" w:themeColor="text1"/>
          <w:sz w:val="24"/>
          <w:szCs w:val="24"/>
          <w14:textFill>
            <w14:solidFill>
              <w14:schemeClr w14:val="tx1"/>
            </w14:solidFill>
          </w14:textFill>
        </w:rPr>
        <w:t>，见</w:t>
      </w:r>
      <w:r>
        <w:rPr>
          <w:rFonts w:hint="eastAsia" w:asciiTheme="minorEastAsia" w:hAnsiTheme="minorEastAsia" w:cstheme="minorEastAsia"/>
          <w:color w:val="000000" w:themeColor="text1"/>
          <w:sz w:val="24"/>
          <w:szCs w:val="24"/>
          <w:lang w:val="en-US"/>
          <w14:textFill>
            <w14:solidFill>
              <w14:schemeClr w14:val="tx1"/>
            </w14:solidFill>
          </w14:textFill>
        </w:rPr>
        <w:t>采购</w:t>
      </w:r>
      <w:r>
        <w:rPr>
          <w:rFonts w:hint="eastAsia" w:asciiTheme="minorEastAsia" w:hAnsiTheme="minorEastAsia" w:cstheme="minorEastAsia"/>
          <w:color w:val="000000" w:themeColor="text1"/>
          <w:sz w:val="24"/>
          <w:szCs w:val="24"/>
          <w14:textFill>
            <w14:solidFill>
              <w14:schemeClr w14:val="tx1"/>
            </w14:solidFill>
          </w14:textFill>
        </w:rPr>
        <w:t>文件第</w:t>
      </w:r>
      <w:r>
        <w:rPr>
          <w:rFonts w:hint="eastAsia" w:asciiTheme="minorEastAsia" w:hAnsiTheme="minorEastAsia" w:cstheme="minorEastAsia"/>
          <w:color w:val="000000" w:themeColor="text1"/>
          <w:sz w:val="24"/>
          <w:szCs w:val="24"/>
          <w:lang w:val="en-US" w:eastAsia="zh-CN"/>
          <w14:textFill>
            <w14:solidFill>
              <w14:schemeClr w14:val="tx1"/>
            </w14:solidFill>
          </w14:textFill>
        </w:rPr>
        <w:t>四</w:t>
      </w:r>
      <w:r>
        <w:rPr>
          <w:rFonts w:hint="eastAsia" w:asciiTheme="minorEastAsia" w:hAnsiTheme="minorEastAsia" w:cstheme="minorEastAsia"/>
          <w:color w:val="000000" w:themeColor="text1"/>
          <w:sz w:val="24"/>
          <w:szCs w:val="24"/>
          <w14:textFill>
            <w14:solidFill>
              <w14:schemeClr w14:val="tx1"/>
            </w14:solidFill>
          </w14:textFill>
        </w:rPr>
        <w:t>章“评</w:t>
      </w:r>
      <w:r>
        <w:rPr>
          <w:rFonts w:hint="eastAsia" w:asciiTheme="minorEastAsia" w:hAnsiTheme="minorEastAsia" w:cstheme="minorEastAsia"/>
          <w:color w:val="000000" w:themeColor="text1"/>
          <w:sz w:val="24"/>
          <w:szCs w:val="24"/>
          <w:lang w:val="en-US"/>
          <w14:textFill>
            <w14:solidFill>
              <w14:schemeClr w14:val="tx1"/>
            </w14:solidFill>
          </w14:textFill>
        </w:rPr>
        <w:t>审</w:t>
      </w:r>
      <w:r>
        <w:rPr>
          <w:rFonts w:hint="eastAsia" w:asciiTheme="minorEastAsia" w:hAnsiTheme="minorEastAsia" w:cstheme="minorEastAsia"/>
          <w:color w:val="000000" w:themeColor="text1"/>
          <w:sz w:val="24"/>
          <w:szCs w:val="24"/>
          <w14:textFill>
            <w14:solidFill>
              <w14:schemeClr w14:val="tx1"/>
            </w14:solidFill>
          </w14:textFill>
        </w:rPr>
        <w:t>办法”</w:t>
      </w:r>
    </w:p>
    <w:p w14:paraId="1B30A56B">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21" w:name="_Toc1277"/>
      <w:bookmarkStart w:id="22" w:name="_Toc651"/>
      <w:bookmarkStart w:id="23" w:name="_Toc20637"/>
      <w:r>
        <w:rPr>
          <w:rFonts w:hint="eastAsia" w:asciiTheme="minorEastAsia" w:hAnsiTheme="minorEastAsia" w:cstheme="minorEastAsia"/>
          <w:color w:val="000000" w:themeColor="text1"/>
          <w:sz w:val="28"/>
          <w:szCs w:val="28"/>
          <w:lang w:val="en-US"/>
          <w14:textFill>
            <w14:solidFill>
              <w14:schemeClr w14:val="tx1"/>
            </w14:solidFill>
          </w14:textFill>
        </w:rPr>
        <w:t>7.响应文件开启时间和地点</w:t>
      </w:r>
      <w:bookmarkEnd w:id="21"/>
      <w:bookmarkEnd w:id="22"/>
      <w:bookmarkEnd w:id="23"/>
    </w:p>
    <w:p w14:paraId="392E01A7">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响应文件开启在响应文件递交截止时间后立即进行，采购人评审小组开启、评审，</w:t>
      </w:r>
      <w:r>
        <w:rPr>
          <w:rFonts w:hint="eastAsia" w:asciiTheme="minorEastAsia" w:hAnsiTheme="minorEastAsia" w:cstheme="minorEastAsia"/>
          <w:color w:val="000000" w:themeColor="text1"/>
          <w:sz w:val="24"/>
          <w:szCs w:val="24"/>
          <w:lang w:val="en-US"/>
          <w14:textFill>
            <w14:solidFill>
              <w14:schemeClr w14:val="tx1"/>
            </w14:solidFill>
          </w14:textFill>
        </w:rPr>
        <w:t>响应人</w:t>
      </w:r>
      <w:r>
        <w:rPr>
          <w:rFonts w:hint="eastAsia" w:asciiTheme="minorEastAsia" w:hAnsiTheme="minorEastAsia" w:cstheme="minorEastAsia"/>
          <w:color w:val="000000" w:themeColor="text1"/>
          <w:sz w:val="24"/>
          <w:szCs w:val="24"/>
          <w14:textFill>
            <w14:solidFill>
              <w14:schemeClr w14:val="tx1"/>
            </w14:solidFill>
          </w14:textFill>
        </w:rPr>
        <w:t>不需到场参会。</w:t>
      </w:r>
    </w:p>
    <w:p w14:paraId="3FD80EEB">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24" w:name="_Toc19571"/>
      <w:bookmarkStart w:id="25" w:name="_Toc29024"/>
      <w:bookmarkStart w:id="26" w:name="_Toc20873"/>
      <w:r>
        <w:rPr>
          <w:rFonts w:hint="eastAsia" w:asciiTheme="minorEastAsia" w:hAnsiTheme="minorEastAsia" w:cstheme="minorEastAsia"/>
          <w:color w:val="000000" w:themeColor="text1"/>
          <w:sz w:val="28"/>
          <w:szCs w:val="28"/>
          <w:lang w:val="en-US"/>
          <w14:textFill>
            <w14:solidFill>
              <w14:schemeClr w14:val="tx1"/>
            </w14:solidFill>
          </w14:textFill>
        </w:rPr>
        <w:t>8.其他说明事项</w:t>
      </w:r>
      <w:bookmarkEnd w:id="24"/>
      <w:bookmarkEnd w:id="25"/>
      <w:bookmarkEnd w:id="26"/>
    </w:p>
    <w:p w14:paraId="484DB75C">
      <w:pPr>
        <w:pStyle w:val="2"/>
        <w:spacing w:before="0" w:after="0" w:line="560" w:lineRule="exact"/>
        <w:ind w:left="0" w:firstLine="480"/>
        <w:rPr>
          <w:rFonts w:hint="eastAsia" w:asciiTheme="minorEastAsia" w:hAnsiTheme="minorEastAsia" w:cstheme="minorEastAsia"/>
          <w:color w:val="000000" w:themeColor="text1"/>
          <w:sz w:val="24"/>
          <w14:textFill>
            <w14:solidFill>
              <w14:schemeClr w14:val="tx1"/>
            </w14:solidFill>
          </w14:textFill>
        </w:rPr>
      </w:pPr>
      <w:bookmarkStart w:id="27" w:name="_Toc29758"/>
      <w:bookmarkStart w:id="28" w:name="_Toc31593"/>
      <w:bookmarkStart w:id="29" w:name="_Toc6840"/>
      <w:bookmarkStart w:id="30" w:name="_Toc4869"/>
      <w:bookmarkStart w:id="31" w:name="_Toc18707"/>
      <w:r>
        <w:rPr>
          <w:rFonts w:hint="eastAsia" w:asciiTheme="minorEastAsia" w:hAnsiTheme="minorEastAsia" w:cstheme="minorEastAsia"/>
          <w:color w:val="000000" w:themeColor="text1"/>
          <w:sz w:val="24"/>
          <w:lang w:val="en-US"/>
          <w14:textFill>
            <w14:solidFill>
              <w14:schemeClr w14:val="tx1"/>
            </w14:solidFill>
          </w14:textFill>
        </w:rPr>
        <w:t>/</w:t>
      </w:r>
    </w:p>
    <w:p w14:paraId="5DBDA273">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32" w:name="_Toc25559"/>
      <w:r>
        <w:rPr>
          <w:rFonts w:hint="eastAsia" w:asciiTheme="minorEastAsia" w:hAnsiTheme="minorEastAsia" w:cstheme="minorEastAsia"/>
          <w:color w:val="000000" w:themeColor="text1"/>
          <w:sz w:val="28"/>
          <w:szCs w:val="28"/>
          <w:lang w:val="en-US"/>
          <w14:textFill>
            <w14:solidFill>
              <w14:schemeClr w14:val="tx1"/>
            </w14:solidFill>
          </w14:textFill>
        </w:rPr>
        <w:t>9.发布公告的媒介</w:t>
      </w:r>
      <w:bookmarkEnd w:id="27"/>
      <w:bookmarkEnd w:id="28"/>
      <w:bookmarkEnd w:id="29"/>
      <w:bookmarkEnd w:id="32"/>
      <w:r>
        <w:rPr>
          <w:rFonts w:hint="eastAsia" w:asciiTheme="minorEastAsia" w:hAnsiTheme="minorEastAsia" w:cstheme="minorEastAsia"/>
          <w:color w:val="000000" w:themeColor="text1"/>
          <w:sz w:val="28"/>
          <w:szCs w:val="28"/>
          <w:lang w:val="en-US"/>
          <w14:textFill>
            <w14:solidFill>
              <w14:schemeClr w14:val="tx1"/>
            </w14:solidFill>
          </w14:textFill>
        </w:rPr>
        <w:t xml:space="preserve"> </w:t>
      </w:r>
    </w:p>
    <w:p w14:paraId="740EA17F">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在中国招标投标公共服务平台（www.cebpubservice.com）、安徽省招标投标信息网（www.ahtba.org.cn）、淮北矿业电子招标采购平台（https://zbcg.hbcoal.com）发布。</w:t>
      </w:r>
    </w:p>
    <w:p w14:paraId="28C8082D">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33" w:name="_Toc19719"/>
      <w:r>
        <w:rPr>
          <w:rFonts w:hint="eastAsia" w:asciiTheme="minorEastAsia" w:hAnsiTheme="minorEastAsia" w:cstheme="minorEastAsia"/>
          <w:color w:val="000000" w:themeColor="text1"/>
          <w:sz w:val="28"/>
          <w:szCs w:val="28"/>
          <w:lang w:val="en-US"/>
          <w14:textFill>
            <w14:solidFill>
              <w14:schemeClr w14:val="tx1"/>
            </w14:solidFill>
          </w14:textFill>
        </w:rPr>
        <w:t>10.联系方式</w:t>
      </w:r>
      <w:bookmarkEnd w:id="30"/>
      <w:bookmarkEnd w:id="31"/>
      <w:bookmarkEnd w:id="33"/>
    </w:p>
    <w:p w14:paraId="59D0B3B5">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采 购 人</w:t>
      </w: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淮北矿业（集团）工程建设有限责任公司</w:t>
      </w:r>
    </w:p>
    <w:p w14:paraId="33B37B8C">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地    址：</w:t>
      </w:r>
      <w:r>
        <w:rPr>
          <w:rFonts w:hint="eastAsia" w:asciiTheme="minorEastAsia" w:hAnsiTheme="minorEastAsia" w:cstheme="minorEastAsia"/>
          <w:color w:val="000000" w:themeColor="text1"/>
          <w:sz w:val="24"/>
          <w:szCs w:val="24"/>
          <w:lang w:val="en-US"/>
          <w14:textFill>
            <w14:solidFill>
              <w14:schemeClr w14:val="tx1"/>
            </w14:solidFill>
          </w14:textFill>
        </w:rPr>
        <w:t xml:space="preserve">淮北市相山区南黎路90号  </w:t>
      </w:r>
    </w:p>
    <w:p w14:paraId="05D1F400">
      <w:pPr>
        <w:spacing w:before="0" w:after="0" w:line="560" w:lineRule="exact"/>
        <w:ind w:firstLine="480" w:firstLineChars="200"/>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rPr>
        <w:t>联 系 人：</w:t>
      </w:r>
      <w:r>
        <w:rPr>
          <w:rFonts w:hint="eastAsia" w:asciiTheme="minorEastAsia" w:hAnsiTheme="minorEastAsia" w:cstheme="minorEastAsia"/>
          <w:color w:val="auto"/>
          <w:sz w:val="24"/>
          <w:szCs w:val="24"/>
          <w:highlight w:val="none"/>
          <w:lang w:val="en-US" w:eastAsia="zh-CN"/>
        </w:rPr>
        <w:t>徐经理</w:t>
      </w:r>
    </w:p>
    <w:p w14:paraId="3D851D24">
      <w:pPr>
        <w:spacing w:before="0" w:after="0" w:line="560" w:lineRule="exact"/>
        <w:ind w:firstLine="480" w:firstLineChars="200"/>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电    话：</w:t>
      </w:r>
      <w:r>
        <w:rPr>
          <w:rFonts w:hint="eastAsia" w:asciiTheme="minorEastAsia" w:hAnsiTheme="minorEastAsia" w:cstheme="minorEastAsia"/>
          <w:color w:val="000000" w:themeColor="text1"/>
          <w:sz w:val="24"/>
          <w:szCs w:val="24"/>
          <w:lang w:val="en-US" w:eastAsia="zh-CN"/>
          <w14:textFill>
            <w14:solidFill>
              <w14:schemeClr w14:val="tx1"/>
            </w14:solidFill>
          </w14:textFill>
        </w:rPr>
        <w:t>18098595766</w:t>
      </w:r>
    </w:p>
    <w:p w14:paraId="6C8AD0EA">
      <w:pPr>
        <w:spacing w:before="0" w:after="0" w:line="560" w:lineRule="exact"/>
        <w:outlineLvl w:val="1"/>
        <w:rPr>
          <w:rFonts w:hint="eastAsia" w:asciiTheme="minorEastAsia" w:hAnsiTheme="minorEastAsia" w:cstheme="minorEastAsia"/>
          <w:color w:val="000000" w:themeColor="text1"/>
          <w:sz w:val="28"/>
          <w:szCs w:val="28"/>
          <w:lang w:val="en-US"/>
          <w14:textFill>
            <w14:solidFill>
              <w14:schemeClr w14:val="tx1"/>
            </w14:solidFill>
          </w14:textFill>
        </w:rPr>
      </w:pPr>
      <w:bookmarkStart w:id="34" w:name="_Toc22865"/>
      <w:r>
        <w:rPr>
          <w:rFonts w:hint="eastAsia" w:asciiTheme="minorEastAsia" w:hAnsiTheme="minorEastAsia" w:cstheme="minorEastAsia"/>
          <w:color w:val="000000" w:themeColor="text1"/>
          <w:sz w:val="28"/>
          <w:szCs w:val="28"/>
          <w:lang w:val="en-US"/>
          <w14:textFill>
            <w14:solidFill>
              <w14:schemeClr w14:val="tx1"/>
            </w14:solidFill>
          </w14:textFill>
        </w:rPr>
        <w:t>11.有关说明</w:t>
      </w:r>
      <w:bookmarkEnd w:id="34"/>
    </w:p>
    <w:p w14:paraId="689F906C">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1</w:t>
      </w: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pacing w:val="-6"/>
          <w:sz w:val="24"/>
          <w14:textFill>
            <w14:solidFill>
              <w14:schemeClr w14:val="tx1"/>
            </w14:solidFill>
          </w14:textFill>
        </w:rPr>
        <w:t>潜在</w:t>
      </w:r>
      <w:r>
        <w:rPr>
          <w:rFonts w:hint="eastAsia" w:asciiTheme="minorEastAsia" w:hAnsiTheme="minorEastAsia" w:cstheme="minorEastAsia"/>
          <w:color w:val="000000" w:themeColor="text1"/>
          <w:spacing w:val="-6"/>
          <w:sz w:val="24"/>
          <w:lang w:val="en-US"/>
          <w14:textFill>
            <w14:solidFill>
              <w14:schemeClr w14:val="tx1"/>
            </w14:solidFill>
          </w14:textFill>
        </w:rPr>
        <w:t>响应</w:t>
      </w:r>
      <w:r>
        <w:rPr>
          <w:rFonts w:hint="eastAsia" w:asciiTheme="minorEastAsia" w:hAnsiTheme="minorEastAsia" w:cstheme="minorEastAsia"/>
          <w:color w:val="000000" w:themeColor="text1"/>
          <w:spacing w:val="-6"/>
          <w:sz w:val="24"/>
          <w14:textFill>
            <w14:solidFill>
              <w14:schemeClr w14:val="tx1"/>
            </w14:solidFill>
          </w14:textFill>
        </w:rPr>
        <w:t>人须登录“淮北矿业电子招标采购平台”(网址：https://zbcg.hbcoal.com，</w:t>
      </w:r>
      <w:r>
        <w:rPr>
          <w:rFonts w:hint="eastAsia" w:asciiTheme="minorEastAsia" w:hAnsiTheme="minorEastAsia" w:cstheme="minorEastAsia"/>
          <w:color w:val="000000" w:themeColor="text1"/>
          <w:sz w:val="24"/>
          <w14:textFill>
            <w14:solidFill>
              <w14:schemeClr w14:val="tx1"/>
            </w14:solidFill>
          </w14:textFill>
        </w:rPr>
        <w:t>以下简称电子交易系统)参与本项目采购活动。首次登录须办理注册手续，请务必选择注册为“投标人角色”类型。注册流程见电子交易系统“用户注册”栏目，咨询热线：400-0099-555。因未及时办理注册手续影响参加采购活动的，责任自负。</w:t>
      </w:r>
    </w:p>
    <w:p w14:paraId="21C3A253">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2</w:t>
      </w:r>
      <w:r>
        <w:rPr>
          <w:rFonts w:hint="eastAsia" w:asciiTheme="minorEastAsia" w:hAnsiTheme="minorEastAsia" w:cstheme="minorEastAsia"/>
          <w:color w:val="000000" w:themeColor="text1"/>
          <w:sz w:val="24"/>
          <w14:textFill>
            <w14:solidFill>
              <w14:schemeClr w14:val="tx1"/>
            </w14:solidFill>
          </w14:textFill>
        </w:rPr>
        <w:t>）已注册的潜在</w:t>
      </w:r>
      <w:r>
        <w:rPr>
          <w:rFonts w:hint="eastAsia" w:asciiTheme="minorEastAsia" w:hAnsiTheme="minorEastAsia" w:cstheme="minorEastAsia"/>
          <w:color w:val="000000" w:themeColor="text1"/>
          <w:spacing w:val="-6"/>
          <w:sz w:val="24"/>
          <w:lang w:val="en-US"/>
          <w14:textFill>
            <w14:solidFill>
              <w14:schemeClr w14:val="tx1"/>
            </w14:solidFill>
          </w14:textFill>
        </w:rPr>
        <w:t>响应</w:t>
      </w:r>
      <w:r>
        <w:rPr>
          <w:rFonts w:hint="eastAsia" w:asciiTheme="minorEastAsia" w:hAnsiTheme="minorEastAsia" w:cstheme="minorEastAsia"/>
          <w:color w:val="000000" w:themeColor="text1"/>
          <w:spacing w:val="-6"/>
          <w:sz w:val="24"/>
          <w14:textFill>
            <w14:solidFill>
              <w14:schemeClr w14:val="tx1"/>
            </w14:solidFill>
          </w14:textFill>
        </w:rPr>
        <w:t>人</w:t>
      </w:r>
      <w:r>
        <w:rPr>
          <w:rFonts w:hint="eastAsia" w:asciiTheme="minorEastAsia" w:hAnsiTheme="minorEastAsia" w:cstheme="minorEastAsia"/>
          <w:color w:val="000000" w:themeColor="text1"/>
          <w:sz w:val="24"/>
          <w14:textFill>
            <w14:solidFill>
              <w14:schemeClr w14:val="tx1"/>
            </w14:solidFill>
          </w14:textFill>
        </w:rPr>
        <w:t>可登录电子交易系统获取</w:t>
      </w:r>
      <w:r>
        <w:rPr>
          <w:rFonts w:hint="eastAsia" w:asciiTheme="minorEastAsia" w:hAnsiTheme="minorEastAsia" w:cstheme="minorEastAsia"/>
          <w:color w:val="000000" w:themeColor="text1"/>
          <w:sz w:val="24"/>
          <w:lang w:val="en-US"/>
          <w14:textFill>
            <w14:solidFill>
              <w14:schemeClr w14:val="tx1"/>
            </w14:solidFill>
          </w14:textFill>
        </w:rPr>
        <w:t>采购</w:t>
      </w:r>
      <w:r>
        <w:rPr>
          <w:rFonts w:hint="eastAsia" w:asciiTheme="minorEastAsia" w:hAnsiTheme="minorEastAsia" w:cstheme="minorEastAsia"/>
          <w:color w:val="000000" w:themeColor="text1"/>
          <w:sz w:val="24"/>
          <w14:textFill>
            <w14:solidFill>
              <w14:schemeClr w14:val="tx1"/>
            </w14:solidFill>
          </w14:textFill>
        </w:rPr>
        <w:t>文件，</w:t>
      </w:r>
      <w:r>
        <w:rPr>
          <w:rFonts w:hint="eastAsia" w:asciiTheme="minorEastAsia" w:hAnsiTheme="minorEastAsia" w:cstheme="minorEastAsia"/>
          <w:color w:val="000000" w:themeColor="text1"/>
          <w:sz w:val="24"/>
          <w:lang w:val="en-US"/>
          <w14:textFill>
            <w14:solidFill>
              <w14:schemeClr w14:val="tx1"/>
            </w14:solidFill>
          </w14:textFill>
        </w:rPr>
        <w:t>采购</w:t>
      </w:r>
      <w:r>
        <w:rPr>
          <w:rFonts w:hint="eastAsia" w:asciiTheme="minorEastAsia" w:hAnsiTheme="minorEastAsia" w:cstheme="minorEastAsia"/>
          <w:color w:val="000000" w:themeColor="text1"/>
          <w:sz w:val="24"/>
          <w14:textFill>
            <w14:solidFill>
              <w14:schemeClr w14:val="tx1"/>
            </w14:solidFill>
          </w14:textFill>
        </w:rPr>
        <w:t>文件费用（如有）采用银联线上支付，支持各类开通银联服务的银行账户。本项目的</w:t>
      </w:r>
      <w:r>
        <w:rPr>
          <w:rFonts w:hint="eastAsia" w:asciiTheme="minorEastAsia" w:hAnsiTheme="minorEastAsia" w:cstheme="minorEastAsia"/>
          <w:color w:val="000000" w:themeColor="text1"/>
          <w:sz w:val="24"/>
          <w:lang w:val="en-US"/>
          <w14:textFill>
            <w14:solidFill>
              <w14:schemeClr w14:val="tx1"/>
            </w14:solidFill>
          </w14:textFill>
        </w:rPr>
        <w:t>采购</w:t>
      </w:r>
      <w:r>
        <w:rPr>
          <w:rFonts w:hint="eastAsia" w:asciiTheme="minorEastAsia" w:hAnsiTheme="minorEastAsia" w:cstheme="minorEastAsia"/>
          <w:color w:val="000000" w:themeColor="text1"/>
          <w:sz w:val="24"/>
          <w14:textFill>
            <w14:solidFill>
              <w14:schemeClr w14:val="tx1"/>
            </w14:solidFill>
          </w14:textFill>
        </w:rPr>
        <w:t>文件及其他资料（含澄清、答疑及相关补充文件）通过电子交易系统发布，</w:t>
      </w:r>
      <w:r>
        <w:rPr>
          <w:rFonts w:hint="eastAsia" w:asciiTheme="minorEastAsia" w:hAnsiTheme="minorEastAsia" w:cstheme="minorEastAsia"/>
          <w:color w:val="000000" w:themeColor="text1"/>
          <w:sz w:val="24"/>
          <w:lang w:val="en-US"/>
          <w14:textFill>
            <w14:solidFill>
              <w14:schemeClr w14:val="tx1"/>
            </w14:solidFill>
          </w14:textFill>
        </w:rPr>
        <w:t>采购</w:t>
      </w:r>
      <w:r>
        <w:rPr>
          <w:rFonts w:hint="eastAsia" w:asciiTheme="minorEastAsia" w:hAnsiTheme="minorEastAsia" w:cstheme="minorEastAsia"/>
          <w:color w:val="000000" w:themeColor="text1"/>
          <w:sz w:val="24"/>
          <w14:textFill>
            <w14:solidFill>
              <w14:schemeClr w14:val="tx1"/>
            </w14:solidFill>
          </w14:textFill>
        </w:rPr>
        <w:t>人不再另行书面通知，潜在</w:t>
      </w:r>
      <w:r>
        <w:rPr>
          <w:rFonts w:hint="eastAsia" w:asciiTheme="minorEastAsia" w:hAnsiTheme="minorEastAsia" w:cstheme="minorEastAsia"/>
          <w:color w:val="000000" w:themeColor="text1"/>
          <w:spacing w:val="-6"/>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人应及时关注、查阅电子交易系统。因未及时查看导致不利后果的，责任自负。</w:t>
      </w:r>
    </w:p>
    <w:p w14:paraId="552D332B">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3</w:t>
      </w:r>
      <w:r>
        <w:rPr>
          <w:rFonts w:hint="eastAsia" w:asciiTheme="minorEastAsia" w:hAnsiTheme="minorEastAsia" w:cstheme="minorEastAsia"/>
          <w:color w:val="000000" w:themeColor="text1"/>
          <w:sz w:val="24"/>
          <w14:textFill>
            <w14:solidFill>
              <w14:schemeClr w14:val="tx1"/>
            </w14:solidFill>
          </w14:textFill>
        </w:rPr>
        <w:t>）潜在</w:t>
      </w:r>
      <w:r>
        <w:rPr>
          <w:rFonts w:hint="eastAsia" w:asciiTheme="minorEastAsia" w:hAnsiTheme="minorEastAsia" w:cstheme="minorEastAsia"/>
          <w:color w:val="000000" w:themeColor="text1"/>
          <w:spacing w:val="-6"/>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人支付</w:t>
      </w:r>
      <w:r>
        <w:rPr>
          <w:rFonts w:hint="eastAsia" w:asciiTheme="minorEastAsia" w:hAnsiTheme="minorEastAsia" w:cstheme="minorEastAsia"/>
          <w:color w:val="000000" w:themeColor="text1"/>
          <w:sz w:val="24"/>
          <w:lang w:val="en-US"/>
          <w14:textFill>
            <w14:solidFill>
              <w14:schemeClr w14:val="tx1"/>
            </w14:solidFill>
          </w14:textFill>
        </w:rPr>
        <w:t>采购</w:t>
      </w:r>
      <w:r>
        <w:rPr>
          <w:rFonts w:hint="eastAsia" w:asciiTheme="minorEastAsia" w:hAnsiTheme="minorEastAsia" w:cstheme="minorEastAsia"/>
          <w:color w:val="000000" w:themeColor="text1"/>
          <w:sz w:val="24"/>
          <w14:textFill>
            <w14:solidFill>
              <w14:schemeClr w14:val="tx1"/>
            </w14:solidFill>
          </w14:textFill>
        </w:rPr>
        <w:t>文件费用（如有）前需核对单位名称及统一社会信用代码，确认无误后支付费用。若单位名称、统一社会信用代码发生变化或填写有误，须先进行注册信息修改，修改内容审核通过后，再进行费用支付。</w:t>
      </w:r>
    </w:p>
    <w:p w14:paraId="43C57DBB">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4</w:t>
      </w:r>
      <w:r>
        <w:rPr>
          <w:rFonts w:hint="eastAsia" w:asciiTheme="minorEastAsia" w:hAnsiTheme="minorEastAsia" w:cstheme="minorEastAsia"/>
          <w:color w:val="000000" w:themeColor="text1"/>
          <w:sz w:val="24"/>
          <w14:textFill>
            <w14:solidFill>
              <w14:schemeClr w14:val="tx1"/>
            </w14:solidFill>
          </w14:textFill>
        </w:rPr>
        <w:t>）已注册的潜在</w:t>
      </w:r>
      <w:r>
        <w:rPr>
          <w:rFonts w:hint="eastAsia" w:asciiTheme="minorEastAsia" w:hAnsiTheme="minorEastAsia" w:cstheme="minorEastAsia"/>
          <w:color w:val="000000" w:themeColor="text1"/>
          <w:spacing w:val="-6"/>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人若注册信息发生变更(如:与初始注册信息不一致)，应及时网上提交变更申请。因未及时变更导致不利后果的，责任自负。</w:t>
      </w:r>
    </w:p>
    <w:p w14:paraId="37168F3E">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5</w:t>
      </w:r>
      <w:r>
        <w:rPr>
          <w:rFonts w:hint="eastAsia" w:asciiTheme="minorEastAsia" w:hAnsiTheme="minorEastAsia" w:cstheme="minorEastAsia"/>
          <w:color w:val="000000" w:themeColor="text1"/>
          <w:sz w:val="24"/>
          <w14:textFill>
            <w14:solidFill>
              <w14:schemeClr w14:val="tx1"/>
            </w14:solidFill>
          </w14:textFill>
        </w:rPr>
        <w:t>）本项目采用全流程电子化采购方式，潜在</w:t>
      </w:r>
      <w:r>
        <w:rPr>
          <w:rFonts w:hint="eastAsia" w:asciiTheme="minorEastAsia" w:hAnsiTheme="minorEastAsia" w:cstheme="minorEastAsia"/>
          <w:color w:val="000000" w:themeColor="text1"/>
          <w:spacing w:val="-6"/>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人须办理 CA 数字证书(以下简称 CA ),CA用于电子</w:t>
      </w:r>
      <w:r>
        <w:rPr>
          <w:rFonts w:hint="eastAsia" w:asciiTheme="minorEastAsia" w:hAnsiTheme="minorEastAsia" w:cstheme="minorEastAsia"/>
          <w:color w:val="000000" w:themeColor="text1"/>
          <w:sz w:val="24"/>
          <w:lang w:val="en-US"/>
          <w14:textFill>
            <w14:solidFill>
              <w14:schemeClr w14:val="tx1"/>
            </w14:solidFill>
          </w14:textFill>
        </w:rPr>
        <w:t>采购</w:t>
      </w:r>
      <w:r>
        <w:rPr>
          <w:rFonts w:hint="eastAsia" w:asciiTheme="minorEastAsia" w:hAnsiTheme="minorEastAsia" w:cstheme="minorEastAsia"/>
          <w:color w:val="000000" w:themeColor="text1"/>
          <w:sz w:val="24"/>
          <w14:textFill>
            <w14:solidFill>
              <w14:schemeClr w14:val="tx1"/>
            </w14:solidFill>
          </w14:textFill>
        </w:rPr>
        <w:t>文件的签章及上传（上传</w:t>
      </w:r>
      <w:r>
        <w:rPr>
          <w:rFonts w:hint="eastAsia" w:asciiTheme="minorEastAsia" w:hAnsiTheme="minorEastAsia" w:cstheme="minorEastAsia"/>
          <w:color w:val="000000" w:themeColor="text1"/>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文件需使用 CA 进行加密）。CA 办理详见《关于优质采云采购平台数字证书办理的须知》</w:t>
      </w:r>
    </w:p>
    <w:p w14:paraId="350809D4">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fldChar w:fldCharType="begin"/>
      </w:r>
      <w:r>
        <w:instrText xml:space="preserve"> HYPERLINK "https://www.youzhicai.com/HelpCenter/HelpCenterDetail?Id=0d2b8e6d-02a6-4dd0-b828-1aa71a25a7b0" </w:instrText>
      </w:r>
      <w:r>
        <w:fldChar w:fldCharType="separate"/>
      </w:r>
      <w:r>
        <w:rPr>
          <w:rFonts w:hint="eastAsia" w:asciiTheme="minorEastAsia" w:hAnsiTheme="minorEastAsia" w:cstheme="minorEastAsia"/>
          <w:color w:val="000000" w:themeColor="text1"/>
          <w:sz w:val="24"/>
          <w14:textFill>
            <w14:solidFill>
              <w14:schemeClr w14:val="tx1"/>
            </w14:solidFill>
          </w14:textFill>
        </w:rPr>
        <w:t>https://www.youzhicai.com/HelpCenter/HelpCenterDetail?Id=0d2b8e6d-02a6-4dd0-b828-1aa71a25a7b0</w:t>
      </w:r>
      <w:r>
        <w:rPr>
          <w:rFonts w:hint="eastAsia" w:asciiTheme="minorEastAsia" w:hAnsiTheme="minorEastAsia" w:cstheme="minorEastAsia"/>
          <w:color w:val="000000" w:themeColor="text1"/>
          <w:sz w:val="24"/>
          <w14:textFill>
            <w14:solidFill>
              <w14:schemeClr w14:val="tx1"/>
            </w14:solidFill>
          </w14:textFill>
        </w:rPr>
        <w:fldChar w:fldCharType="end"/>
      </w:r>
      <w:r>
        <w:rPr>
          <w:rFonts w:hint="eastAsia" w:asciiTheme="minorEastAsia" w:hAnsiTheme="minorEastAsia" w:cstheme="minorEastAsia"/>
          <w:color w:val="000000" w:themeColor="text1"/>
          <w:sz w:val="24"/>
          <w14:textFill>
            <w14:solidFill>
              <w14:schemeClr w14:val="tx1"/>
            </w14:solidFill>
          </w14:textFill>
        </w:rPr>
        <w:t>）。</w:t>
      </w:r>
    </w:p>
    <w:p w14:paraId="7DED31CB">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6</w:t>
      </w:r>
      <w:r>
        <w:rPr>
          <w:rFonts w:hint="eastAsia" w:asciiTheme="minorEastAsia" w:hAnsiTheme="minorEastAsia" w:cstheme="minorEastAsia"/>
          <w:color w:val="000000" w:themeColor="text1"/>
          <w:sz w:val="24"/>
          <w14:textFill>
            <w14:solidFill>
              <w14:schemeClr w14:val="tx1"/>
            </w14:solidFill>
          </w14:textFill>
        </w:rPr>
        <w:t>）淮北矿业电子招标采购平台全流程项目，需要通过“淮北矿业投标工具客户端”进行</w:t>
      </w:r>
      <w:r>
        <w:rPr>
          <w:rFonts w:hint="eastAsia" w:asciiTheme="minorEastAsia" w:hAnsiTheme="minorEastAsia" w:cstheme="minorEastAsia"/>
          <w:color w:val="000000" w:themeColor="text1"/>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文件的编辑和上传，电子响应文件必须使用“淮北矿业电子投标文件制作工具”制作生成并上传。</w:t>
      </w:r>
    </w:p>
    <w:p w14:paraId="14BC48F7">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淮北矿业电子</w:t>
      </w:r>
      <w:r>
        <w:rPr>
          <w:rFonts w:hint="eastAsia" w:asciiTheme="minorEastAsia" w:hAnsiTheme="minorEastAsia" w:cstheme="minorEastAsia"/>
          <w:color w:val="000000" w:themeColor="text1"/>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文件制作工具下载地址：</w:t>
      </w:r>
    </w:p>
    <w:p w14:paraId="2CEF4FFA">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https://zbcg-oss.hbcoal.com/overt/file/BidderTools.zip</w:t>
      </w:r>
    </w:p>
    <w:p w14:paraId="0191254C">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投标工具使用说明书及视频教程下载地址：</w:t>
      </w:r>
    </w:p>
    <w:p w14:paraId="5398E037">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https://zbcg.hbcoal.com/company-pages/hbky/operate/detail?id=292</w:t>
      </w:r>
    </w:p>
    <w:p w14:paraId="79A47943">
      <w:pPr>
        <w:spacing w:before="0" w:after="0" w:line="560" w:lineRule="exact"/>
        <w:ind w:firstLine="480" w:firstLineChars="200"/>
        <w:rPr>
          <w:rFonts w:hint="eastAsia"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【提醒】如对本系统</w:t>
      </w:r>
      <w:r>
        <w:rPr>
          <w:rFonts w:hint="eastAsia" w:asciiTheme="minorEastAsia" w:hAnsiTheme="minorEastAsia" w:cstheme="minorEastAsia"/>
          <w:color w:val="000000" w:themeColor="text1"/>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操作环境不熟悉，建议</w:t>
      </w:r>
      <w:r>
        <w:rPr>
          <w:rFonts w:hint="eastAsia" w:asciiTheme="minorEastAsia" w:hAnsiTheme="minorEastAsia" w:cstheme="minorEastAsia"/>
          <w:color w:val="000000" w:themeColor="text1"/>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人预留至少三个小时以上的设置、上传等</w:t>
      </w:r>
      <w:r>
        <w:rPr>
          <w:rFonts w:hint="eastAsia" w:asciiTheme="minorEastAsia" w:hAnsiTheme="minorEastAsia" w:cstheme="minorEastAsia"/>
          <w:color w:val="000000" w:themeColor="text1"/>
          <w:sz w:val="24"/>
          <w:lang w:val="en-US"/>
          <w14:textFill>
            <w14:solidFill>
              <w14:schemeClr w14:val="tx1"/>
            </w14:solidFill>
          </w14:textFill>
        </w:rPr>
        <w:t>响应</w:t>
      </w:r>
      <w:r>
        <w:rPr>
          <w:rFonts w:hint="eastAsia" w:asciiTheme="minorEastAsia" w:hAnsiTheme="minorEastAsia" w:cstheme="minorEastAsia"/>
          <w:color w:val="000000" w:themeColor="text1"/>
          <w:sz w:val="24"/>
          <w14:textFill>
            <w14:solidFill>
              <w14:schemeClr w14:val="tx1"/>
            </w14:solidFill>
          </w14:textFill>
        </w:rPr>
        <w:t>操作时间。遇到操作问题，第一时间拨通平台首页400电话或者</w:t>
      </w:r>
      <w:r>
        <w:rPr>
          <w:rFonts w:hint="eastAsia" w:asciiTheme="minorEastAsia" w:hAnsiTheme="minorEastAsia" w:cstheme="minorEastAsia"/>
          <w:color w:val="000000" w:themeColor="text1"/>
          <w:sz w:val="24"/>
          <w:lang w:val="en-US"/>
          <w14:textFill>
            <w14:solidFill>
              <w14:schemeClr w14:val="tx1"/>
            </w14:solidFill>
          </w14:textFill>
        </w:rPr>
        <w:t>采购人</w:t>
      </w:r>
      <w:r>
        <w:rPr>
          <w:rFonts w:hint="eastAsia" w:asciiTheme="minorEastAsia" w:hAnsiTheme="minorEastAsia" w:cstheme="minorEastAsia"/>
          <w:color w:val="000000" w:themeColor="text1"/>
          <w:sz w:val="24"/>
          <w14:textFill>
            <w14:solidFill>
              <w14:schemeClr w14:val="tx1"/>
            </w14:solidFill>
          </w14:textFill>
        </w:rPr>
        <w:t>电话进行咨询，请知悉。</w:t>
      </w:r>
    </w:p>
    <w:p w14:paraId="58EA8573">
      <w:pPr>
        <w:spacing w:before="0" w:after="0" w:line="560" w:lineRule="exact"/>
        <w:ind w:firstLine="480" w:firstLineChars="200"/>
        <w:rPr>
          <w:rFonts w:hint="eastAsia" w:asciiTheme="minorEastAsia" w:hAnsiTheme="minorEastAsia" w:cstheme="minorEastAsia"/>
          <w:b/>
          <w:color w:val="000000" w:themeColor="text1"/>
          <w:sz w:val="28"/>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（7）“淮北矿业电子招标采购平台”使用的电子签章与“优质采云采购平台”（网址:http://www.youzhicai.com/）使用的电子签章已实现互认互通，</w:t>
      </w:r>
      <w:r>
        <w:rPr>
          <w:rFonts w:hint="eastAsia" w:asciiTheme="minorEastAsia" w:hAnsiTheme="minorEastAsia" w:cstheme="minorEastAsia"/>
          <w:color w:val="000000" w:themeColor="text1"/>
          <w:sz w:val="24"/>
          <w:lang w:val="en-US"/>
          <w14:textFill>
            <w14:solidFill>
              <w14:schemeClr w14:val="tx1"/>
            </w14:solidFill>
          </w14:textFill>
        </w:rPr>
        <w:t>响应人</w:t>
      </w:r>
      <w:r>
        <w:rPr>
          <w:rFonts w:hint="eastAsia" w:asciiTheme="minorEastAsia" w:hAnsiTheme="minorEastAsia" w:cstheme="minorEastAsia"/>
          <w:color w:val="000000" w:themeColor="text1"/>
          <w:sz w:val="24"/>
          <w14:textFill>
            <w14:solidFill>
              <w14:schemeClr w14:val="tx1"/>
            </w14:solidFill>
          </w14:textFill>
        </w:rPr>
        <w:t>可在“优质采云采购平台”进行注册及CA办理后到本平台使用，本项目支持硬件CA锁方式进行电子</w:t>
      </w:r>
      <w:r>
        <w:rPr>
          <w:rFonts w:hint="eastAsia" w:asciiTheme="minorEastAsia" w:hAnsiTheme="minorEastAsia" w:cstheme="minorEastAsia"/>
          <w:color w:val="000000" w:themeColor="text1"/>
          <w:sz w:val="24"/>
          <w:lang w:val="en-US"/>
          <w14:textFill>
            <w14:solidFill>
              <w14:schemeClr w14:val="tx1"/>
            </w14:solidFill>
          </w14:textFill>
        </w:rPr>
        <w:t>响应文件</w:t>
      </w:r>
      <w:r>
        <w:rPr>
          <w:rFonts w:hint="eastAsia" w:asciiTheme="minorEastAsia" w:hAnsiTheme="minorEastAsia" w:cstheme="minorEastAsia"/>
          <w:color w:val="000000" w:themeColor="text1"/>
          <w:sz w:val="24"/>
          <w14:textFill>
            <w14:solidFill>
              <w14:schemeClr w14:val="tx1"/>
            </w14:solidFill>
          </w14:textFill>
        </w:rPr>
        <w:t>盖章与加解密操作。</w:t>
      </w:r>
    </w:p>
    <w:p w14:paraId="464AE26E">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8</w:t>
      </w:r>
      <w:r>
        <w:rPr>
          <w:rFonts w:hint="eastAsia" w:asciiTheme="minorEastAsia" w:hAnsiTheme="minorEastAsia" w:cstheme="minorEastAsia"/>
          <w:color w:val="000000" w:themeColor="text1"/>
          <w:sz w:val="24"/>
          <w14:textFill>
            <w14:solidFill>
              <w14:schemeClr w14:val="tx1"/>
            </w14:solidFill>
          </w14:textFill>
        </w:rPr>
        <w:t>）</w:t>
      </w:r>
      <w:r>
        <w:rPr>
          <w:rFonts w:hint="eastAsia" w:asciiTheme="minorEastAsia" w:hAnsiTheme="minorEastAsia" w:cstheme="minorEastAsia"/>
          <w:color w:val="000000" w:themeColor="text1"/>
          <w:sz w:val="24"/>
          <w:lang w:val="en-US"/>
          <w14:textFill>
            <w14:solidFill>
              <w14:schemeClr w14:val="tx1"/>
            </w14:solidFill>
          </w14:textFill>
        </w:rPr>
        <w:t>询比文件开启评选期间，响应人需保持在线，保持预留联系方式畅通。</w:t>
      </w:r>
    </w:p>
    <w:p w14:paraId="032632BA">
      <w:pPr>
        <w:pStyle w:val="13"/>
        <w:spacing w:after="120" w:line="480" w:lineRule="exact"/>
        <w:jc w:val="center"/>
        <w:outlineLvl w:val="0"/>
        <w:rPr>
          <w:rFonts w:hint="eastAsia" w:asciiTheme="minorEastAsia" w:hAnsiTheme="minorEastAsia" w:cstheme="minorEastAsia"/>
          <w:b/>
          <w:color w:val="000000" w:themeColor="text1"/>
          <w:sz w:val="28"/>
          <w:szCs w:val="28"/>
          <w:lang w:val="en-US"/>
          <w14:textFill>
            <w14:solidFill>
              <w14:schemeClr w14:val="tx1"/>
            </w14:solidFill>
          </w14:textFill>
        </w:rPr>
        <w:sectPr>
          <w:footerReference r:id="rId6" w:type="default"/>
          <w:pgSz w:w="11906" w:h="16838"/>
          <w:pgMar w:top="1134" w:right="1134" w:bottom="1134" w:left="1247" w:header="851" w:footer="992" w:gutter="0"/>
          <w:pgNumType w:fmt="decimal"/>
          <w:cols w:space="0" w:num="1"/>
          <w:docGrid w:type="lines" w:linePitch="317" w:charSpace="0"/>
        </w:sectPr>
      </w:pPr>
      <w:bookmarkStart w:id="35" w:name="_Toc30358"/>
    </w:p>
    <w:p w14:paraId="0F5E2EE0">
      <w:pPr>
        <w:pStyle w:val="13"/>
        <w:spacing w:after="120" w:line="480" w:lineRule="exact"/>
        <w:jc w:val="center"/>
        <w:outlineLvl w:val="0"/>
        <w:rPr>
          <w:rFonts w:hint="eastAsia" w:asciiTheme="minorEastAsia" w:hAnsiTheme="minorEastAsia" w:cstheme="minorEastAsia"/>
          <w:b/>
          <w:color w:val="000000" w:themeColor="text1"/>
          <w:sz w:val="28"/>
          <w:szCs w:val="28"/>
          <w:lang w:val="en-US"/>
          <w14:textFill>
            <w14:solidFill>
              <w14:schemeClr w14:val="tx1"/>
            </w14:solidFill>
          </w14:textFill>
        </w:rPr>
      </w:pPr>
      <w:bookmarkStart w:id="36" w:name="_Toc6932"/>
      <w:r>
        <w:rPr>
          <w:rFonts w:hint="eastAsia" w:asciiTheme="minorEastAsia" w:hAnsiTheme="minorEastAsia" w:cstheme="minorEastAsia"/>
          <w:b/>
          <w:color w:val="000000" w:themeColor="text1"/>
          <w:sz w:val="28"/>
          <w:szCs w:val="28"/>
          <w:lang w:val="en-US"/>
          <w14:textFill>
            <w14:solidFill>
              <w14:schemeClr w14:val="tx1"/>
            </w14:solidFill>
          </w14:textFill>
        </w:rPr>
        <w:t>二、供应商须知</w:t>
      </w:r>
      <w:bookmarkEnd w:id="35"/>
      <w:bookmarkEnd w:id="36"/>
    </w:p>
    <w:p w14:paraId="4B85973B">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37" w:name="_Toc10310"/>
      <w:bookmarkStart w:id="38" w:name="_Toc11415"/>
      <w:bookmarkStart w:id="39" w:name="_Toc10068"/>
      <w:r>
        <w:rPr>
          <w:rFonts w:hint="eastAsia" w:asciiTheme="minorEastAsia" w:hAnsiTheme="minorEastAsia" w:cstheme="minorEastAsia"/>
          <w:color w:val="000000" w:themeColor="text1"/>
          <w:sz w:val="24"/>
          <w:szCs w:val="24"/>
          <w:lang w:val="en-US"/>
          <w14:textFill>
            <w14:solidFill>
              <w14:schemeClr w14:val="tx1"/>
            </w14:solidFill>
          </w14:textFill>
        </w:rPr>
        <w:t>1.项目概况和采购要求</w:t>
      </w:r>
      <w:bookmarkEnd w:id="37"/>
      <w:bookmarkEnd w:id="38"/>
      <w:bookmarkEnd w:id="39"/>
    </w:p>
    <w:p w14:paraId="2D8BE8C5">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详见采购公告</w:t>
      </w:r>
    </w:p>
    <w:p w14:paraId="24E4A186">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40" w:name="_Toc20148"/>
      <w:bookmarkStart w:id="41" w:name="_Toc15786"/>
      <w:bookmarkStart w:id="42" w:name="_Toc7719"/>
      <w:r>
        <w:rPr>
          <w:rFonts w:hint="eastAsia" w:asciiTheme="minorEastAsia" w:hAnsiTheme="minorEastAsia" w:cstheme="minorEastAsia"/>
          <w:color w:val="000000" w:themeColor="text1"/>
          <w:sz w:val="24"/>
          <w:szCs w:val="24"/>
          <w:lang w:val="en-US"/>
          <w14:textFill>
            <w14:solidFill>
              <w14:schemeClr w14:val="tx1"/>
            </w14:solidFill>
          </w14:textFill>
        </w:rPr>
        <w:t>2.供应商资格要求</w:t>
      </w:r>
      <w:bookmarkEnd w:id="40"/>
      <w:bookmarkEnd w:id="41"/>
      <w:bookmarkEnd w:id="42"/>
    </w:p>
    <w:p w14:paraId="3A49DB26">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2.1 供应商</w:t>
      </w:r>
      <w:r>
        <w:rPr>
          <w:rFonts w:hint="eastAsia" w:asciiTheme="minorEastAsia" w:hAnsiTheme="minorEastAsia" w:cstheme="minorEastAsia"/>
          <w:color w:val="000000" w:themeColor="text1"/>
          <w:sz w:val="24"/>
          <w:szCs w:val="24"/>
          <w14:textFill>
            <w14:solidFill>
              <w14:schemeClr w14:val="tx1"/>
            </w14:solidFill>
          </w14:textFill>
        </w:rPr>
        <w:t>应具备承担本项目的资质条件、能力和信誉，</w:t>
      </w:r>
      <w:r>
        <w:rPr>
          <w:rFonts w:hint="eastAsia" w:asciiTheme="minorEastAsia" w:hAnsiTheme="minorEastAsia" w:cstheme="minorEastAsia"/>
          <w:color w:val="000000" w:themeColor="text1"/>
          <w:sz w:val="24"/>
          <w:szCs w:val="24"/>
          <w:lang w:val="en-US"/>
          <w14:textFill>
            <w14:solidFill>
              <w14:schemeClr w14:val="tx1"/>
            </w14:solidFill>
          </w14:textFill>
        </w:rPr>
        <w:t>具体详见采购公告。</w:t>
      </w:r>
    </w:p>
    <w:p w14:paraId="541A09D0">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 xml:space="preserve">2.2 </w:t>
      </w:r>
      <w:r>
        <w:rPr>
          <w:rFonts w:hint="eastAsia" w:asciiTheme="minorEastAsia" w:hAnsiTheme="minorEastAsia" w:cstheme="minorEastAsia"/>
          <w:color w:val="000000" w:themeColor="text1"/>
          <w:sz w:val="24"/>
          <w:szCs w:val="24"/>
          <w14:textFill>
            <w14:solidFill>
              <w14:schemeClr w14:val="tx1"/>
            </w14:solidFill>
          </w14:textFill>
        </w:rPr>
        <w:t>供应商不得存在下列情形之一:</w:t>
      </w:r>
    </w:p>
    <w:p w14:paraId="581EA39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1</w:t>
      </w:r>
      <w:r>
        <w:rPr>
          <w:rFonts w:hint="eastAsia" w:asciiTheme="minorEastAsia" w:hAnsiTheme="minorEastAsia" w:cstheme="minorEastAsia"/>
          <w:color w:val="000000" w:themeColor="text1"/>
          <w:sz w:val="24"/>
          <w:szCs w:val="24"/>
          <w14:textFill>
            <w14:solidFill>
              <w14:schemeClr w14:val="tx1"/>
            </w14:solidFill>
          </w14:textFill>
        </w:rPr>
        <w:t>）与本</w:t>
      </w:r>
      <w:r>
        <w:rPr>
          <w:rFonts w:hint="eastAsia" w:asciiTheme="minorEastAsia" w:hAnsiTheme="minorEastAsia" w:cstheme="minorEastAsia"/>
          <w:color w:val="000000" w:themeColor="text1"/>
          <w:sz w:val="24"/>
          <w:szCs w:val="24"/>
          <w:lang w:val="en-US"/>
          <w14:textFill>
            <w14:solidFill>
              <w14:schemeClr w14:val="tx1"/>
            </w14:solidFill>
          </w14:textFill>
        </w:rPr>
        <w:t>项目</w:t>
      </w:r>
      <w:r>
        <w:rPr>
          <w:rFonts w:hint="eastAsia" w:asciiTheme="minorEastAsia" w:hAnsiTheme="minorEastAsia" w:cstheme="minorEastAsia"/>
          <w:color w:val="000000" w:themeColor="text1"/>
          <w:sz w:val="24"/>
          <w:szCs w:val="24"/>
          <w14:textFill>
            <w14:solidFill>
              <w14:schemeClr w14:val="tx1"/>
            </w14:solidFill>
          </w14:textFill>
        </w:rPr>
        <w:t>的其他</w:t>
      </w:r>
      <w:r>
        <w:rPr>
          <w:rFonts w:hint="eastAsia" w:asciiTheme="minorEastAsia" w:hAnsiTheme="minorEastAsia" w:cstheme="minorEastAsia"/>
          <w:color w:val="000000" w:themeColor="text1"/>
          <w:sz w:val="24"/>
          <w:szCs w:val="24"/>
          <w:lang w:val="en-US"/>
          <w14:textFill>
            <w14:solidFill>
              <w14:schemeClr w14:val="tx1"/>
            </w14:solidFill>
          </w14:textFill>
        </w:rPr>
        <w:t>供应商</w:t>
      </w:r>
      <w:r>
        <w:rPr>
          <w:rFonts w:hint="eastAsia" w:asciiTheme="minorEastAsia" w:hAnsiTheme="minorEastAsia" w:cstheme="minorEastAsia"/>
          <w:color w:val="000000" w:themeColor="text1"/>
          <w:sz w:val="24"/>
          <w:szCs w:val="24"/>
          <w14:textFill>
            <w14:solidFill>
              <w14:schemeClr w14:val="tx1"/>
            </w14:solidFill>
          </w14:textFill>
        </w:rPr>
        <w:t>同为一个单位负责人；</w:t>
      </w:r>
    </w:p>
    <w:p w14:paraId="2561E6A9">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2</w:t>
      </w:r>
      <w:r>
        <w:rPr>
          <w:rFonts w:hint="eastAsia" w:asciiTheme="minorEastAsia" w:hAnsiTheme="minorEastAsia" w:cstheme="minorEastAsia"/>
          <w:color w:val="000000" w:themeColor="text1"/>
          <w:sz w:val="24"/>
          <w:szCs w:val="24"/>
          <w14:textFill>
            <w14:solidFill>
              <w14:schemeClr w14:val="tx1"/>
            </w14:solidFill>
          </w14:textFill>
        </w:rPr>
        <w:t>）与本</w:t>
      </w:r>
      <w:r>
        <w:rPr>
          <w:rFonts w:hint="eastAsia" w:asciiTheme="minorEastAsia" w:hAnsiTheme="minorEastAsia" w:cstheme="minorEastAsia"/>
          <w:color w:val="000000" w:themeColor="text1"/>
          <w:sz w:val="24"/>
          <w:szCs w:val="24"/>
          <w:lang w:val="en-US"/>
          <w14:textFill>
            <w14:solidFill>
              <w14:schemeClr w14:val="tx1"/>
            </w14:solidFill>
          </w14:textFill>
        </w:rPr>
        <w:t>项目</w:t>
      </w:r>
      <w:r>
        <w:rPr>
          <w:rFonts w:hint="eastAsia" w:asciiTheme="minorEastAsia" w:hAnsiTheme="minorEastAsia" w:cstheme="minorEastAsia"/>
          <w:color w:val="000000" w:themeColor="text1"/>
          <w:sz w:val="24"/>
          <w:szCs w:val="24"/>
          <w14:textFill>
            <w14:solidFill>
              <w14:schemeClr w14:val="tx1"/>
            </w14:solidFill>
          </w14:textFill>
        </w:rPr>
        <w:t>的其他</w:t>
      </w:r>
      <w:r>
        <w:rPr>
          <w:rFonts w:hint="eastAsia" w:asciiTheme="minorEastAsia" w:hAnsiTheme="minorEastAsia" w:cstheme="minorEastAsia"/>
          <w:color w:val="000000" w:themeColor="text1"/>
          <w:sz w:val="24"/>
          <w:szCs w:val="24"/>
          <w:lang w:val="en-US"/>
          <w14:textFill>
            <w14:solidFill>
              <w14:schemeClr w14:val="tx1"/>
            </w14:solidFill>
          </w14:textFill>
        </w:rPr>
        <w:t>供应商</w:t>
      </w:r>
      <w:r>
        <w:rPr>
          <w:rFonts w:hint="eastAsia" w:asciiTheme="minorEastAsia" w:hAnsiTheme="minorEastAsia" w:cstheme="minorEastAsia"/>
          <w:color w:val="000000" w:themeColor="text1"/>
          <w:sz w:val="24"/>
          <w:szCs w:val="24"/>
          <w14:textFill>
            <w14:solidFill>
              <w14:schemeClr w14:val="tx1"/>
            </w14:solidFill>
          </w14:textFill>
        </w:rPr>
        <w:t>存在控股、管理关系；</w:t>
      </w:r>
    </w:p>
    <w:p w14:paraId="5705D724">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3</w:t>
      </w:r>
      <w:r>
        <w:rPr>
          <w:rFonts w:hint="eastAsia" w:asciiTheme="minorEastAsia" w:hAnsiTheme="minorEastAsia" w:cstheme="minorEastAsia"/>
          <w:color w:val="000000" w:themeColor="text1"/>
          <w:sz w:val="24"/>
          <w:szCs w:val="24"/>
          <w14:textFill>
            <w14:solidFill>
              <w14:schemeClr w14:val="tx1"/>
            </w14:solidFill>
          </w14:textFill>
        </w:rPr>
        <w:t>）处于被责令停产停业、</w:t>
      </w:r>
      <w:r>
        <w:rPr>
          <w:rFonts w:hint="eastAsia" w:asciiTheme="minorEastAsia" w:hAnsiTheme="minorEastAsia" w:cstheme="minorEastAsia"/>
          <w:color w:val="000000" w:themeColor="text1"/>
          <w:sz w:val="24"/>
          <w:szCs w:val="24"/>
          <w:lang w:val="en-US"/>
          <w14:textFill>
            <w14:solidFill>
              <w14:schemeClr w14:val="tx1"/>
            </w14:solidFill>
          </w14:textFill>
        </w:rPr>
        <w:t>暂</w:t>
      </w:r>
      <w:r>
        <w:rPr>
          <w:rFonts w:hint="eastAsia" w:asciiTheme="minorEastAsia" w:hAnsiTheme="minorEastAsia" w:cstheme="minorEastAsia"/>
          <w:color w:val="000000" w:themeColor="text1"/>
          <w:sz w:val="24"/>
          <w:szCs w:val="24"/>
          <w14:textFill>
            <w14:solidFill>
              <w14:schemeClr w14:val="tx1"/>
            </w14:solidFill>
          </w14:textFill>
        </w:rPr>
        <w:t>扣或者吊销执照、</w:t>
      </w:r>
      <w:r>
        <w:rPr>
          <w:rFonts w:hint="eastAsia" w:asciiTheme="minorEastAsia" w:hAnsiTheme="minorEastAsia" w:cstheme="minorEastAsia"/>
          <w:color w:val="000000" w:themeColor="text1"/>
          <w:sz w:val="24"/>
          <w:szCs w:val="24"/>
          <w:lang w:val="en-US"/>
          <w14:textFill>
            <w14:solidFill>
              <w14:schemeClr w14:val="tx1"/>
            </w14:solidFill>
          </w14:textFill>
        </w:rPr>
        <w:t>暂</w:t>
      </w:r>
      <w:r>
        <w:rPr>
          <w:rFonts w:hint="eastAsia" w:asciiTheme="minorEastAsia" w:hAnsiTheme="minorEastAsia" w:cstheme="minorEastAsia"/>
          <w:color w:val="000000" w:themeColor="text1"/>
          <w:sz w:val="24"/>
          <w:szCs w:val="24"/>
          <w14:textFill>
            <w14:solidFill>
              <w14:schemeClr w14:val="tx1"/>
            </w14:solidFill>
          </w14:textFill>
        </w:rPr>
        <w:t>扣或者吊销许可证、吊销资质证书状态；</w:t>
      </w:r>
    </w:p>
    <w:p w14:paraId="57F3744E">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4</w:t>
      </w:r>
      <w:r>
        <w:rPr>
          <w:rFonts w:hint="eastAsia" w:asciiTheme="minorEastAsia" w:hAnsiTheme="minorEastAsia" w:cstheme="minorEastAsia"/>
          <w:color w:val="000000" w:themeColor="text1"/>
          <w:sz w:val="24"/>
          <w:szCs w:val="24"/>
          <w14:textFill>
            <w14:solidFill>
              <w14:schemeClr w14:val="tx1"/>
            </w14:solidFill>
          </w14:textFill>
        </w:rPr>
        <w:t>）进入清算程序，或被宣告破产，或其他丧失履约能力的情形；</w:t>
      </w:r>
    </w:p>
    <w:p w14:paraId="602A05AC">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5</w:t>
      </w:r>
      <w:r>
        <w:rPr>
          <w:rFonts w:hint="eastAsia" w:asciiTheme="minorEastAsia" w:hAnsiTheme="minorEastAsia" w:cstheme="minorEastAsia"/>
          <w:color w:val="000000" w:themeColor="text1"/>
          <w:sz w:val="24"/>
          <w:szCs w:val="24"/>
          <w14:textFill>
            <w14:solidFill>
              <w14:schemeClr w14:val="tx1"/>
            </w14:solidFill>
          </w14:textFill>
        </w:rPr>
        <w:t>）法律法规或</w:t>
      </w:r>
      <w:r>
        <w:rPr>
          <w:rFonts w:hint="eastAsia" w:asciiTheme="minorEastAsia" w:hAnsiTheme="minorEastAsia" w:cstheme="minorEastAsia"/>
          <w:color w:val="000000" w:themeColor="text1"/>
          <w:sz w:val="24"/>
          <w:szCs w:val="24"/>
          <w:lang w:val="en-US"/>
          <w14:textFill>
            <w14:solidFill>
              <w14:schemeClr w14:val="tx1"/>
            </w14:solidFill>
          </w14:textFill>
        </w:rPr>
        <w:t>采购公告中</w:t>
      </w:r>
      <w:r>
        <w:rPr>
          <w:rFonts w:hint="eastAsia" w:asciiTheme="minorEastAsia" w:hAnsiTheme="minorEastAsia" w:cstheme="minorEastAsia"/>
          <w:color w:val="000000" w:themeColor="text1"/>
          <w:sz w:val="24"/>
          <w:szCs w:val="24"/>
          <w14:textFill>
            <w14:solidFill>
              <w14:schemeClr w14:val="tx1"/>
            </w14:solidFill>
          </w14:textFill>
        </w:rPr>
        <w:t>规定的其他情形。</w:t>
      </w:r>
    </w:p>
    <w:p w14:paraId="0256017E">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43" w:name="bookmark27"/>
      <w:bookmarkEnd w:id="43"/>
      <w:bookmarkStart w:id="44" w:name="bookmark26"/>
      <w:bookmarkEnd w:id="44"/>
      <w:bookmarkStart w:id="45" w:name="_Toc24881"/>
      <w:bookmarkStart w:id="46" w:name="_Toc22357"/>
      <w:bookmarkStart w:id="47" w:name="_Toc31314"/>
      <w:r>
        <w:rPr>
          <w:rFonts w:hint="eastAsia" w:asciiTheme="minorEastAsia" w:hAnsiTheme="minorEastAsia" w:cstheme="minorEastAsia"/>
          <w:color w:val="000000" w:themeColor="text1"/>
          <w:sz w:val="24"/>
          <w:szCs w:val="24"/>
          <w:lang w:val="en-US"/>
          <w14:textFill>
            <w14:solidFill>
              <w14:schemeClr w14:val="tx1"/>
            </w14:solidFill>
          </w14:textFill>
        </w:rPr>
        <w:t>3.响应文件编制</w:t>
      </w:r>
      <w:bookmarkEnd w:id="45"/>
      <w:bookmarkEnd w:id="46"/>
      <w:bookmarkEnd w:id="47"/>
    </w:p>
    <w:p w14:paraId="1F6C8D7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3.1 响应</w:t>
      </w:r>
      <w:r>
        <w:rPr>
          <w:rFonts w:hint="eastAsia" w:asciiTheme="minorEastAsia" w:hAnsiTheme="minorEastAsia" w:cstheme="minorEastAsia"/>
          <w:color w:val="000000" w:themeColor="text1"/>
          <w:sz w:val="24"/>
          <w:szCs w:val="24"/>
          <w14:textFill>
            <w14:solidFill>
              <w14:schemeClr w14:val="tx1"/>
            </w14:solidFill>
          </w14:textFill>
        </w:rPr>
        <w:t>文件应按照第</w:t>
      </w:r>
      <w:r>
        <w:rPr>
          <w:rFonts w:hint="eastAsia" w:asciiTheme="minorEastAsia" w:hAnsiTheme="minorEastAsia" w:cstheme="minorEastAsia"/>
          <w:color w:val="000000" w:themeColor="text1"/>
          <w:sz w:val="24"/>
          <w:szCs w:val="24"/>
          <w:lang w:val="en-US" w:eastAsia="zh-CN"/>
          <w14:textFill>
            <w14:solidFill>
              <w14:schemeClr w14:val="tx1"/>
            </w14:solidFill>
          </w14:textFill>
        </w:rPr>
        <w:t>七</w:t>
      </w:r>
      <w:r>
        <w:rPr>
          <w:rFonts w:hint="eastAsia" w:asciiTheme="minorEastAsia" w:hAnsiTheme="minorEastAsia" w:cstheme="minorEastAsia"/>
          <w:color w:val="000000" w:themeColor="text1"/>
          <w:sz w:val="24"/>
          <w:szCs w:val="24"/>
          <w14:textFill>
            <w14:solidFill>
              <w14:schemeClr w14:val="tx1"/>
            </w14:solidFill>
          </w14:textFill>
        </w:rPr>
        <w:t>章“</w:t>
      </w: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Theme="minorEastAsia" w:hAnsiTheme="minorEastAsia" w:cstheme="minorEastAsia"/>
          <w:color w:val="000000" w:themeColor="text1"/>
          <w:sz w:val="24"/>
          <w:szCs w:val="24"/>
          <w14:textFill>
            <w14:solidFill>
              <w14:schemeClr w14:val="tx1"/>
            </w14:solidFill>
          </w14:textFill>
        </w:rPr>
        <w:t>文件格式”进行编写，如有必要，可以增加附页。</w:t>
      </w: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Theme="minorEastAsia" w:hAnsiTheme="minorEastAsia" w:cstheme="minorEastAsia"/>
          <w:color w:val="000000" w:themeColor="text1"/>
          <w:sz w:val="24"/>
          <w:szCs w:val="24"/>
          <w14:textFill>
            <w14:solidFill>
              <w14:schemeClr w14:val="tx1"/>
            </w14:solidFill>
          </w14:textFill>
        </w:rPr>
        <w:t>文件应包括下列内容：</w:t>
      </w:r>
    </w:p>
    <w:p w14:paraId="29C71510">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bookmarkStart w:id="48" w:name="bookmark28"/>
      <w:bookmarkEnd w:id="48"/>
      <w:r>
        <w:rPr>
          <w:rFonts w:hint="eastAsia" w:asciiTheme="minorEastAsia" w:hAnsiTheme="minorEastAsia" w:cstheme="minorEastAsia"/>
          <w:color w:val="000000" w:themeColor="text1"/>
          <w:sz w:val="24"/>
          <w:szCs w:val="24"/>
          <w:lang w:val="en-US"/>
          <w14:textFill>
            <w14:solidFill>
              <w14:schemeClr w14:val="tx1"/>
            </w14:solidFill>
          </w14:textFill>
        </w:rPr>
        <w:t>（1）</w:t>
      </w:r>
      <w:r>
        <w:rPr>
          <w:rFonts w:hint="eastAsia" w:asciiTheme="minorEastAsia" w:hAnsiTheme="minorEastAsia" w:cstheme="minorEastAsia"/>
          <w:color w:val="000000" w:themeColor="text1"/>
          <w:sz w:val="24"/>
          <w:szCs w:val="24"/>
          <w14:textFill>
            <w14:solidFill>
              <w14:schemeClr w14:val="tx1"/>
            </w14:solidFill>
          </w14:textFill>
        </w:rPr>
        <w:t>封面，</w:t>
      </w:r>
      <w:r>
        <w:rPr>
          <w:rFonts w:hint="eastAsia" w:asciiTheme="minorEastAsia" w:hAnsiTheme="minorEastAsia" w:cstheme="minorEastAsia"/>
          <w:color w:val="000000" w:themeColor="text1"/>
          <w:sz w:val="24"/>
          <w:szCs w:val="24"/>
          <w:lang w:val="en-US"/>
          <w14:textFill>
            <w14:solidFill>
              <w14:schemeClr w14:val="tx1"/>
            </w14:solidFill>
          </w14:textFill>
        </w:rPr>
        <w:t>须</w:t>
      </w:r>
      <w:r>
        <w:rPr>
          <w:rFonts w:hint="eastAsia" w:asciiTheme="minorEastAsia" w:hAnsiTheme="minorEastAsia" w:cstheme="minorEastAsia"/>
          <w:color w:val="000000" w:themeColor="text1"/>
          <w:sz w:val="24"/>
          <w:szCs w:val="24"/>
          <w14:textFill>
            <w14:solidFill>
              <w14:schemeClr w14:val="tx1"/>
            </w14:solidFill>
          </w14:textFill>
        </w:rPr>
        <w:t>加盖公章并有法人或其委托代理人签字或盖章；</w:t>
      </w:r>
    </w:p>
    <w:p w14:paraId="411758C6">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w:t>
      </w:r>
      <w:r>
        <w:rPr>
          <w:rFonts w:hint="eastAsia" w:asciiTheme="minorEastAsia" w:hAnsiTheme="minorEastAsia" w:cstheme="minorEastAsia"/>
          <w:color w:val="000000" w:themeColor="text1"/>
          <w:sz w:val="24"/>
          <w:szCs w:val="24"/>
          <w14:textFill>
            <w14:solidFill>
              <w14:schemeClr w14:val="tx1"/>
            </w14:solidFill>
          </w14:textFill>
        </w:rPr>
        <w:t>法定代表人身份证明、法定代表人授权委托书（</w:t>
      </w:r>
      <w:r>
        <w:rPr>
          <w:rFonts w:hint="eastAsia" w:asciiTheme="minorEastAsia" w:hAnsiTheme="minorEastAsia" w:cstheme="minorEastAsia"/>
          <w:color w:val="000000" w:themeColor="text1"/>
          <w:sz w:val="24"/>
          <w:szCs w:val="24"/>
          <w:lang w:val="en-US"/>
          <w14:textFill>
            <w14:solidFill>
              <w14:schemeClr w14:val="tx1"/>
            </w14:solidFill>
          </w14:textFill>
        </w:rPr>
        <w:t>如有授权</w:t>
      </w:r>
      <w:r>
        <w:rPr>
          <w:rFonts w:hint="eastAsia" w:asciiTheme="minorEastAsia" w:hAnsiTheme="minorEastAsia" w:cstheme="minorEastAsia"/>
          <w:color w:val="000000" w:themeColor="text1"/>
          <w:sz w:val="24"/>
          <w:szCs w:val="24"/>
          <w14:textFill>
            <w14:solidFill>
              <w14:schemeClr w14:val="tx1"/>
            </w14:solidFill>
          </w14:textFill>
        </w:rPr>
        <w:t>）；</w:t>
      </w:r>
    </w:p>
    <w:p w14:paraId="7A6ECE00">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（3）响应</w:t>
      </w:r>
      <w:r>
        <w:rPr>
          <w:rFonts w:hint="eastAsia" w:asciiTheme="minorEastAsia" w:hAnsiTheme="minorEastAsia" w:cstheme="minorEastAsia"/>
          <w:color w:val="000000" w:themeColor="text1"/>
          <w:sz w:val="24"/>
          <w:szCs w:val="24"/>
          <w14:textFill>
            <w14:solidFill>
              <w14:schemeClr w14:val="tx1"/>
            </w14:solidFill>
          </w14:textFill>
        </w:rPr>
        <w:t>单位资格证明文件:营业执照</w:t>
      </w:r>
      <w:r>
        <w:rPr>
          <w:rFonts w:hint="eastAsia" w:asciiTheme="minorEastAsia" w:hAnsiTheme="minorEastAsia" w:cstheme="minorEastAsia"/>
          <w:color w:val="000000" w:themeColor="text1"/>
          <w:sz w:val="24"/>
          <w:szCs w:val="24"/>
          <w:lang w:val="en-US" w:eastAsia="zh-CN"/>
          <w14:textFill>
            <w14:solidFill>
              <w14:schemeClr w14:val="tx1"/>
            </w14:solidFill>
          </w14:textFill>
        </w:rPr>
        <w:t>等</w:t>
      </w:r>
      <w:r>
        <w:rPr>
          <w:rFonts w:hint="eastAsia" w:asciiTheme="minorEastAsia" w:hAnsiTheme="minorEastAsia" w:cstheme="minorEastAsia"/>
          <w:color w:val="000000" w:themeColor="text1"/>
          <w:sz w:val="24"/>
          <w:szCs w:val="24"/>
          <w14:textFill>
            <w14:solidFill>
              <w14:schemeClr w14:val="tx1"/>
            </w14:solidFill>
          </w14:textFill>
        </w:rPr>
        <w:t>加盖公章；</w:t>
      </w:r>
    </w:p>
    <w:p w14:paraId="1941B4E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w:t>
      </w:r>
      <w:r>
        <w:rPr>
          <w:rFonts w:hint="eastAsia" w:asciiTheme="minorEastAsia" w:hAnsiTheme="minorEastAsia" w:cstheme="minorEastAsia"/>
          <w:color w:val="000000" w:themeColor="text1"/>
          <w:sz w:val="24"/>
          <w:szCs w:val="24"/>
          <w14:textFill>
            <w14:solidFill>
              <w14:schemeClr w14:val="tx1"/>
            </w14:solidFill>
          </w14:textFill>
        </w:rPr>
        <w:t>响应函、报价</w:t>
      </w:r>
      <w:r>
        <w:rPr>
          <w:rFonts w:hint="eastAsia" w:asciiTheme="minorEastAsia" w:hAnsiTheme="minorEastAsia" w:cstheme="minorEastAsia"/>
          <w:color w:val="000000" w:themeColor="text1"/>
          <w:sz w:val="24"/>
          <w:szCs w:val="24"/>
          <w:lang w:val="en-US"/>
          <w14:textFill>
            <w14:solidFill>
              <w14:schemeClr w14:val="tx1"/>
            </w14:solidFill>
          </w14:textFill>
        </w:rPr>
        <w:t>表</w:t>
      </w:r>
      <w:r>
        <w:rPr>
          <w:rFonts w:hint="eastAsia" w:asciiTheme="minorEastAsia" w:hAnsiTheme="minorEastAsia" w:cstheme="minorEastAsia"/>
          <w:color w:val="000000" w:themeColor="text1"/>
          <w:sz w:val="24"/>
          <w:szCs w:val="24"/>
          <w14:textFill>
            <w14:solidFill>
              <w14:schemeClr w14:val="tx1"/>
            </w14:solidFill>
          </w14:textFill>
        </w:rPr>
        <w:t>；</w:t>
      </w:r>
    </w:p>
    <w:p w14:paraId="3EE163EE">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cstheme="minorEastAsia"/>
          <w:color w:val="000000" w:themeColor="text1"/>
          <w:sz w:val="24"/>
          <w:szCs w:val="24"/>
          <w:lang w:val="en-US"/>
          <w14:textFill>
            <w14:solidFill>
              <w14:schemeClr w14:val="tx1"/>
            </w14:solidFill>
          </w14:textFill>
        </w:rPr>
        <w:t>）业绩证明文件；</w:t>
      </w:r>
    </w:p>
    <w:p w14:paraId="49DB39AC">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7</w:t>
      </w:r>
      <w:r>
        <w:rPr>
          <w:rFonts w:hint="eastAsia" w:asciiTheme="minorEastAsia" w:hAnsiTheme="minorEastAsia" w:cstheme="minorEastAsia"/>
          <w:color w:val="000000" w:themeColor="text1"/>
          <w:sz w:val="24"/>
          <w:szCs w:val="24"/>
          <w:lang w:val="en-US"/>
          <w14:textFill>
            <w14:solidFill>
              <w14:schemeClr w14:val="tx1"/>
            </w14:solidFill>
          </w14:textFill>
        </w:rPr>
        <w:t>）供应商</w:t>
      </w:r>
      <w:r>
        <w:rPr>
          <w:rFonts w:hint="eastAsia" w:asciiTheme="minorEastAsia" w:hAnsiTheme="minorEastAsia" w:cstheme="minorEastAsia"/>
          <w:color w:val="000000" w:themeColor="text1"/>
          <w:sz w:val="24"/>
          <w:szCs w:val="24"/>
          <w14:textFill>
            <w14:solidFill>
              <w14:schemeClr w14:val="tx1"/>
            </w14:solidFill>
          </w14:textFill>
        </w:rPr>
        <w:t>认为需要表述的与本次采购相关的其它内容。（</w:t>
      </w:r>
      <w:r>
        <w:rPr>
          <w:rFonts w:hint="eastAsia" w:asciiTheme="minorEastAsia" w:hAnsiTheme="minorEastAsia" w:cstheme="minorEastAsia"/>
          <w:color w:val="000000" w:themeColor="text1"/>
          <w:sz w:val="24"/>
          <w:szCs w:val="24"/>
          <w:lang w:val="en-US"/>
          <w14:textFill>
            <w14:solidFill>
              <w14:schemeClr w14:val="tx1"/>
            </w14:solidFill>
          </w14:textFill>
        </w:rPr>
        <w:t>比如信用截图</w:t>
      </w:r>
      <w:r>
        <w:rPr>
          <w:rFonts w:hint="eastAsia" w:asciiTheme="minorEastAsia" w:hAnsiTheme="minorEastAsia" w:cstheme="minorEastAsia"/>
          <w:color w:val="000000" w:themeColor="text1"/>
          <w:sz w:val="24"/>
          <w:szCs w:val="24"/>
          <w14:textFill>
            <w14:solidFill>
              <w14:schemeClr w14:val="tx1"/>
            </w14:solidFill>
          </w14:textFill>
        </w:rPr>
        <w:t>）</w:t>
      </w:r>
    </w:p>
    <w:p w14:paraId="4CA4E382">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49" w:name="_Toc29326"/>
      <w:bookmarkStart w:id="50" w:name="_Toc18404"/>
      <w:bookmarkStart w:id="51" w:name="_Toc6546"/>
      <w:r>
        <w:rPr>
          <w:rFonts w:hint="eastAsia" w:asciiTheme="minorEastAsia" w:hAnsiTheme="minorEastAsia" w:cstheme="minorEastAsia"/>
          <w:color w:val="000000" w:themeColor="text1"/>
          <w:sz w:val="24"/>
          <w:szCs w:val="24"/>
          <w:lang w:val="en-US"/>
          <w14:textFill>
            <w14:solidFill>
              <w14:schemeClr w14:val="tx1"/>
            </w14:solidFill>
          </w14:textFill>
        </w:rPr>
        <w:t>4.响应报价：</w:t>
      </w:r>
      <w:bookmarkEnd w:id="49"/>
      <w:bookmarkEnd w:id="50"/>
      <w:bookmarkEnd w:id="51"/>
    </w:p>
    <w:p w14:paraId="29274798">
      <w:pPr>
        <w:spacing w:before="0" w:after="0" w:line="560" w:lineRule="exact"/>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 xml:space="preserve">4.1 </w:t>
      </w:r>
      <w:r>
        <w:rPr>
          <w:rFonts w:hint="eastAsia" w:asciiTheme="minorEastAsia" w:hAnsiTheme="minorEastAsia" w:cstheme="minorEastAsia"/>
          <w:color w:val="000000" w:themeColor="text1"/>
          <w:sz w:val="24"/>
          <w:szCs w:val="24"/>
          <w14:textFill>
            <w14:solidFill>
              <w14:schemeClr w14:val="tx1"/>
            </w14:solidFill>
          </w14:textFill>
        </w:rPr>
        <w:t>本工程</w:t>
      </w:r>
      <w:r>
        <w:rPr>
          <w:rFonts w:hint="eastAsia" w:asciiTheme="minorEastAsia" w:hAnsiTheme="minorEastAsia" w:cstheme="minorEastAsia"/>
          <w:color w:val="000000" w:themeColor="text1"/>
          <w:sz w:val="24"/>
          <w:szCs w:val="24"/>
          <w:lang w:val="en-US"/>
          <w14:textFill>
            <w14:solidFill>
              <w14:schemeClr w14:val="tx1"/>
            </w14:solidFill>
          </w14:textFill>
        </w:rPr>
        <w:t>为</w:t>
      </w:r>
      <w:r>
        <w:rPr>
          <w:rFonts w:hint="eastAsia" w:asciiTheme="minorEastAsia" w:hAnsiTheme="minorEastAsia" w:cstheme="minorEastAsia"/>
          <w:color w:val="000000" w:themeColor="text1"/>
          <w:sz w:val="24"/>
          <w:szCs w:val="24"/>
          <w:lang w:eastAsia="zh-CN"/>
          <w14:textFill>
            <w14:solidFill>
              <w14:schemeClr w14:val="tx1"/>
            </w14:solidFill>
          </w14:textFill>
        </w:rPr>
        <w:t>材料采购</w:t>
      </w:r>
      <w:r>
        <w:rPr>
          <w:rFonts w:hint="eastAsia" w:asciiTheme="minorEastAsia" w:hAnsiTheme="minorEastAsia" w:cstheme="minorEastAsia"/>
          <w:color w:val="000000" w:themeColor="text1"/>
          <w:sz w:val="24"/>
          <w:szCs w:val="24"/>
          <w14:textFill>
            <w14:solidFill>
              <w14:schemeClr w14:val="tx1"/>
            </w14:solidFill>
          </w14:textFill>
        </w:rPr>
        <w:t>，报价方式为</w:t>
      </w:r>
      <w:r>
        <w:rPr>
          <w:rFonts w:hint="eastAsia" w:asciiTheme="minorEastAsia" w:hAnsiTheme="minorEastAsia" w:cstheme="minorEastAsia"/>
          <w:color w:val="000000" w:themeColor="text1"/>
          <w:sz w:val="24"/>
          <w:szCs w:val="24"/>
          <w:lang w:val="en-US" w:eastAsia="zh-CN"/>
          <w14:textFill>
            <w14:solidFill>
              <w14:schemeClr w14:val="tx1"/>
            </w14:solidFill>
          </w14:textFill>
        </w:rPr>
        <w:t>单价报价</w:t>
      </w:r>
      <w:r>
        <w:rPr>
          <w:rFonts w:hint="eastAsia" w:asciiTheme="minorEastAsia" w:hAnsiTheme="minorEastAsia" w:cstheme="minorEastAsia"/>
          <w:color w:val="000000" w:themeColor="text1"/>
          <w:sz w:val="24"/>
          <w:szCs w:val="24"/>
          <w14:textFill>
            <w14:solidFill>
              <w14:schemeClr w14:val="tx1"/>
            </w14:solidFill>
          </w14:textFill>
        </w:rPr>
        <w:t>，报价含税，税率</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13%</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14:textFill>
            <w14:solidFill>
              <w14:schemeClr w14:val="tx1"/>
            </w14:solidFill>
          </w14:textFill>
        </w:rPr>
        <w:t>。</w:t>
      </w:r>
    </w:p>
    <w:p w14:paraId="3FD6424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 xml:space="preserve">4.2 </w:t>
      </w:r>
      <w:r>
        <w:rPr>
          <w:rFonts w:hint="eastAsia" w:asciiTheme="minorEastAsia" w:hAnsiTheme="minorEastAsia" w:cstheme="minorEastAsia"/>
          <w:color w:val="000000" w:themeColor="text1"/>
          <w:sz w:val="24"/>
          <w:szCs w:val="24"/>
          <w14:textFill>
            <w14:solidFill>
              <w14:schemeClr w14:val="tx1"/>
            </w14:solidFill>
          </w14:textFill>
        </w:rPr>
        <w:t>报价应包含为完成本询比采购文件所确定的采购范围、并满足其各项要求所需的全部费用，包括但不限于材料</w:t>
      </w:r>
      <w:r>
        <w:rPr>
          <w:rFonts w:hint="eastAsia" w:asciiTheme="minorEastAsia" w:hAnsiTheme="minorEastAsia" w:cstheme="minorEastAsia"/>
          <w:color w:val="000000" w:themeColor="text1"/>
          <w:sz w:val="24"/>
          <w:szCs w:val="24"/>
          <w:lang w:val="en-US" w:eastAsia="zh-CN"/>
          <w14:textFill>
            <w14:solidFill>
              <w14:schemeClr w14:val="tx1"/>
            </w14:solidFill>
          </w14:textFill>
        </w:rPr>
        <w:t>本身、包装</w:t>
      </w:r>
      <w:r>
        <w:rPr>
          <w:rFonts w:hint="eastAsia" w:asciiTheme="minorEastAsia" w:hAnsiTheme="minorEastAsia" w:cstheme="minorEastAsia"/>
          <w:color w:val="000000" w:themeColor="text1"/>
          <w:sz w:val="24"/>
          <w:szCs w:val="24"/>
          <w14:textFill>
            <w14:solidFill>
              <w14:schemeClr w14:val="tx1"/>
            </w14:solidFill>
          </w14:textFill>
        </w:rPr>
        <w:t>、装卸、运输、利润、配合费、税金等。</w:t>
      </w:r>
    </w:p>
    <w:p w14:paraId="3A3353C2">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 xml:space="preserve">4.3 </w:t>
      </w:r>
      <w:r>
        <w:rPr>
          <w:rFonts w:hint="eastAsia" w:asciiTheme="minorEastAsia" w:hAnsiTheme="minorEastAsia" w:cstheme="minorEastAsia"/>
          <w:color w:val="000000" w:themeColor="text1"/>
          <w:sz w:val="24"/>
          <w:szCs w:val="24"/>
          <w14:textFill>
            <w14:solidFill>
              <w14:schemeClr w14:val="tx1"/>
            </w14:solidFill>
          </w14:textFill>
        </w:rPr>
        <w:t>如设最高限价，</w:t>
      </w: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Theme="minorEastAsia" w:hAnsiTheme="minorEastAsia" w:cstheme="minorEastAsia"/>
          <w:color w:val="000000" w:themeColor="text1"/>
          <w:sz w:val="24"/>
          <w:szCs w:val="24"/>
          <w14:textFill>
            <w14:solidFill>
              <w14:schemeClr w14:val="tx1"/>
            </w14:solidFill>
          </w14:textFill>
        </w:rPr>
        <w:t>报价不得超过该限价，否则作无效</w:t>
      </w:r>
      <w:r>
        <w:rPr>
          <w:rFonts w:hint="eastAsia" w:asciiTheme="minorEastAsia" w:hAnsiTheme="minorEastAsia" w:cstheme="minorEastAsia"/>
          <w:color w:val="000000" w:themeColor="text1"/>
          <w:sz w:val="24"/>
          <w:szCs w:val="24"/>
          <w:lang w:val="en-US"/>
          <w14:textFill>
            <w14:solidFill>
              <w14:schemeClr w14:val="tx1"/>
            </w14:solidFill>
          </w14:textFill>
        </w:rPr>
        <w:t>报价</w:t>
      </w:r>
      <w:r>
        <w:rPr>
          <w:rFonts w:hint="eastAsia" w:asciiTheme="minorEastAsia" w:hAnsiTheme="minorEastAsia" w:cstheme="minorEastAsia"/>
          <w:color w:val="000000" w:themeColor="text1"/>
          <w:sz w:val="24"/>
          <w:szCs w:val="24"/>
          <w14:textFill>
            <w14:solidFill>
              <w14:schemeClr w14:val="tx1"/>
            </w14:solidFill>
          </w14:textFill>
        </w:rPr>
        <w:t>处理。</w:t>
      </w:r>
    </w:p>
    <w:p w14:paraId="1872D40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4.4 供应商</w:t>
      </w:r>
      <w:r>
        <w:rPr>
          <w:rFonts w:hint="eastAsia" w:asciiTheme="minorEastAsia" w:hAnsiTheme="minorEastAsia" w:cstheme="minorEastAsia"/>
          <w:color w:val="000000" w:themeColor="text1"/>
          <w:sz w:val="24"/>
          <w:szCs w:val="24"/>
          <w14:textFill>
            <w14:solidFill>
              <w14:schemeClr w14:val="tx1"/>
            </w14:solidFill>
          </w14:textFill>
        </w:rPr>
        <w:t>应承担其</w:t>
      </w:r>
      <w:r>
        <w:rPr>
          <w:rFonts w:hint="eastAsia" w:asciiTheme="minorEastAsia" w:hAnsiTheme="minorEastAsia" w:cstheme="minorEastAsia"/>
          <w:color w:val="000000" w:themeColor="text1"/>
          <w:sz w:val="24"/>
          <w:szCs w:val="24"/>
          <w:lang w:val="en-US"/>
          <w14:textFill>
            <w14:solidFill>
              <w14:schemeClr w14:val="tx1"/>
            </w14:solidFill>
          </w14:textFill>
        </w:rPr>
        <w:t>响应采购文件过程</w:t>
      </w:r>
      <w:r>
        <w:rPr>
          <w:rFonts w:hint="eastAsia" w:asciiTheme="minorEastAsia" w:hAnsiTheme="minorEastAsia" w:cstheme="minorEastAsia"/>
          <w:color w:val="000000" w:themeColor="text1"/>
          <w:sz w:val="24"/>
          <w:szCs w:val="24"/>
          <w14:textFill>
            <w14:solidFill>
              <w14:schemeClr w14:val="tx1"/>
            </w14:solidFill>
          </w14:textFill>
        </w:rPr>
        <w:t>所涉及的</w:t>
      </w:r>
      <w:r>
        <w:rPr>
          <w:rFonts w:hint="eastAsia" w:asciiTheme="minorEastAsia" w:hAnsiTheme="minorEastAsia" w:cstheme="minorEastAsia"/>
          <w:color w:val="000000" w:themeColor="text1"/>
          <w:sz w:val="24"/>
          <w:szCs w:val="24"/>
          <w:lang w:val="en-US"/>
          <w14:textFill>
            <w14:solidFill>
              <w14:schemeClr w14:val="tx1"/>
            </w14:solidFill>
          </w14:textFill>
        </w:rPr>
        <w:t>全部</w:t>
      </w:r>
      <w:r>
        <w:rPr>
          <w:rFonts w:hint="eastAsia" w:asciiTheme="minorEastAsia" w:hAnsiTheme="minorEastAsia" w:cstheme="minorEastAsia"/>
          <w:color w:val="000000" w:themeColor="text1"/>
          <w:sz w:val="24"/>
          <w:szCs w:val="24"/>
          <w14:textFill>
            <w14:solidFill>
              <w14:schemeClr w14:val="tx1"/>
            </w14:solidFill>
          </w14:textFill>
        </w:rPr>
        <w:t>费用。</w:t>
      </w:r>
    </w:p>
    <w:p w14:paraId="729429CD">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4.5 采购人不组织任何单位或个人踏勘项目现场，供应商可自行踏勘，相关责任、风险及费用均由供应商自行承担。</w:t>
      </w:r>
    </w:p>
    <w:p w14:paraId="2ED9BD95">
      <w:pPr>
        <w:spacing w:before="0" w:after="0" w:line="560" w:lineRule="exact"/>
        <w:outlineLvl w:val="1"/>
        <w:rPr>
          <w:rFonts w:hint="eastAsia" w:asciiTheme="minorEastAsia" w:hAnsiTheme="minorEastAsia" w:cstheme="minorEastAsia"/>
          <w:color w:val="auto"/>
          <w:sz w:val="24"/>
          <w:szCs w:val="24"/>
          <w:lang w:val="en-US"/>
        </w:rPr>
      </w:pPr>
      <w:bookmarkStart w:id="52" w:name="_Toc14257"/>
      <w:r>
        <w:rPr>
          <w:rFonts w:hint="eastAsia" w:asciiTheme="minorEastAsia" w:hAnsiTheme="minorEastAsia" w:cstheme="minorEastAsia"/>
          <w:color w:val="000000" w:themeColor="text1"/>
          <w:sz w:val="24"/>
          <w:szCs w:val="24"/>
          <w:lang w:val="en-US"/>
          <w14:textFill>
            <w14:solidFill>
              <w14:schemeClr w14:val="tx1"/>
            </w14:solidFill>
          </w14:textFill>
        </w:rPr>
        <w:t>5.</w:t>
      </w:r>
      <w:r>
        <w:rPr>
          <w:rFonts w:hint="eastAsia" w:asciiTheme="minorEastAsia" w:hAnsiTheme="minorEastAsia" w:cstheme="minorEastAsia"/>
          <w:color w:val="auto"/>
          <w:sz w:val="24"/>
          <w:szCs w:val="24"/>
          <w:lang w:val="en-US"/>
        </w:rPr>
        <w:t>响应保证金</w:t>
      </w:r>
      <w:bookmarkEnd w:id="52"/>
    </w:p>
    <w:p w14:paraId="0993265F">
      <w:pPr>
        <w:spacing w:before="0" w:after="0" w:line="56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1.金额：人民币大写</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lang w:val="en-US" w:eastAsia="zh-CN"/>
        </w:rPr>
        <w:t>陆仟陆佰元整</w:t>
      </w:r>
      <w:r>
        <w:rPr>
          <w:rFonts w:hint="eastAsia" w:ascii="宋体" w:hAnsi="宋体" w:eastAsia="宋体" w:cs="宋体"/>
          <w:color w:val="auto"/>
          <w:sz w:val="24"/>
          <w:szCs w:val="24"/>
          <w:highlight w:val="none"/>
          <w:u w:val="single"/>
          <w:lang w:val="en-US"/>
        </w:rPr>
        <w:t>（¥</w:t>
      </w:r>
      <w:r>
        <w:rPr>
          <w:rFonts w:hint="eastAsia" w:ascii="宋体" w:hAnsi="宋体" w:eastAsia="宋体" w:cs="宋体"/>
          <w:color w:val="auto"/>
          <w:sz w:val="24"/>
          <w:szCs w:val="24"/>
          <w:highlight w:val="none"/>
          <w:u w:val="single"/>
          <w:lang w:val="en-US" w:eastAsia="zh-CN"/>
        </w:rPr>
        <w:t>6600</w:t>
      </w:r>
      <w:r>
        <w:rPr>
          <w:rFonts w:hint="eastAsia" w:ascii="宋体" w:hAnsi="宋体" w:eastAsia="宋体" w:cs="宋体"/>
          <w:color w:val="auto"/>
          <w:sz w:val="24"/>
          <w:szCs w:val="24"/>
          <w:highlight w:val="none"/>
          <w:u w:val="single"/>
          <w:lang w:val="en-US"/>
        </w:rPr>
        <w:t>.00）</w:t>
      </w:r>
    </w:p>
    <w:p w14:paraId="09C74350">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2.缴纳方式说明：可采用电汇、转账、银行汇票、现金支票、银行或担保机构出具的投标保函、保兑支票（请不要使用“支付宝”等第三方支付平台）</w:t>
      </w:r>
    </w:p>
    <w:p w14:paraId="3795B8A4">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（1）如采用银行保函，银行保函应为见索即付无条件保函。保函扫描件须附于响应文件中，纸质保函原件应在递交响应文件截止时间之前单独密封递交。</w:t>
      </w:r>
    </w:p>
    <w:p w14:paraId="19B31DF6">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（2）如采用担保机构担保，应为融资担保机构或经安徽省地方金融监督管理局备案的融资担保机构出具的无条件担保。</w:t>
      </w:r>
    </w:p>
    <w:p w14:paraId="662C95BB">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注：保证金须从</w:t>
      </w:r>
      <w:r>
        <w:rPr>
          <w:rFonts w:hint="eastAsia" w:ascii="宋体" w:hAnsi="宋体" w:eastAsia="宋体" w:cs="宋体"/>
          <w:b/>
          <w:bCs/>
          <w:color w:val="auto"/>
          <w:sz w:val="24"/>
          <w:szCs w:val="24"/>
          <w:lang w:val="en-US"/>
        </w:rPr>
        <w:t>供应商基本账户汇出</w:t>
      </w:r>
      <w:r>
        <w:rPr>
          <w:rFonts w:hint="eastAsia" w:ascii="宋体" w:hAnsi="宋体" w:eastAsia="宋体" w:cs="宋体"/>
          <w:color w:val="auto"/>
          <w:sz w:val="24"/>
          <w:szCs w:val="24"/>
          <w:lang w:val="en-US"/>
        </w:rPr>
        <w:t>，供应商办理银行汇款时,务必在备注栏注明“项目名称+保证金”字样,否则,造成账目不清或无法查明的后果,由供应商自负。</w:t>
      </w:r>
    </w:p>
    <w:p w14:paraId="164BE285">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3.下列任何情况发生时，保证金将不予退还：</w:t>
      </w:r>
    </w:p>
    <w:p w14:paraId="443AE6DA">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1）供应商在评审有效期内撤销其投标；</w:t>
      </w:r>
    </w:p>
    <w:p w14:paraId="26D33978">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2）成交人未能在规定的时间内签署合同；</w:t>
      </w:r>
    </w:p>
    <w:p w14:paraId="525A1A7E">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3）未能在规定的时间内提供履约担保；</w:t>
      </w:r>
    </w:p>
    <w:p w14:paraId="046156C1">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4）供应商未按规定缴纳成交服务费；</w:t>
      </w:r>
    </w:p>
    <w:p w14:paraId="64121242">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5）供应商在响应文件中提供虚假材料或有串标、围标等恶意行为的；</w:t>
      </w:r>
    </w:p>
    <w:p w14:paraId="68C15337">
      <w:pPr>
        <w:spacing w:before="0" w:after="0" w:line="56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6）法律法规规定的其他不予退还的情形。</w:t>
      </w:r>
    </w:p>
    <w:p w14:paraId="5626EFDB">
      <w:pPr>
        <w:spacing w:before="0" w:after="0" w:line="560" w:lineRule="exact"/>
        <w:outlineLvl w:val="1"/>
        <w:rPr>
          <w:rFonts w:hint="eastAsia" w:asciiTheme="minorEastAsia" w:hAnsiTheme="minorEastAsia" w:cstheme="minorEastAsia"/>
          <w:color w:val="auto"/>
          <w:sz w:val="24"/>
          <w:szCs w:val="24"/>
          <w:lang w:val="en-US"/>
        </w:rPr>
      </w:pPr>
      <w:bookmarkStart w:id="53" w:name="_Toc30071"/>
      <w:r>
        <w:rPr>
          <w:rFonts w:hint="eastAsia" w:asciiTheme="minorEastAsia" w:hAnsiTheme="minorEastAsia" w:cstheme="minorEastAsia"/>
          <w:color w:val="auto"/>
          <w:sz w:val="24"/>
          <w:szCs w:val="24"/>
          <w:lang w:val="en-US"/>
        </w:rPr>
        <w:t>6.响应有效期</w:t>
      </w:r>
      <w:bookmarkEnd w:id="53"/>
    </w:p>
    <w:p w14:paraId="30DF6D1F">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rPr>
        <w:t>响应</w:t>
      </w:r>
      <w:r>
        <w:rPr>
          <w:rFonts w:hint="eastAsia" w:ascii="宋体" w:hAnsi="宋体" w:eastAsia="宋体" w:cs="宋体"/>
          <w:sz w:val="24"/>
          <w:szCs w:val="24"/>
        </w:rPr>
        <w:t>有效期为</w:t>
      </w:r>
      <w:r>
        <w:rPr>
          <w:rFonts w:hint="eastAsia" w:ascii="宋体" w:hAnsi="宋体" w:eastAsia="宋体" w:cs="宋体"/>
          <w:sz w:val="24"/>
          <w:szCs w:val="24"/>
          <w:lang w:val="en-US"/>
        </w:rPr>
        <w:t>响应</w:t>
      </w:r>
      <w:r>
        <w:rPr>
          <w:rFonts w:hint="eastAsia" w:ascii="宋体" w:hAnsi="宋体" w:eastAsia="宋体" w:cs="宋体"/>
          <w:sz w:val="24"/>
          <w:szCs w:val="24"/>
        </w:rPr>
        <w:t>截止时间起60日历天。</w:t>
      </w:r>
    </w:p>
    <w:p w14:paraId="027B21D0">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54" w:name="_Toc4233"/>
      <w:r>
        <w:rPr>
          <w:rFonts w:hint="eastAsia" w:asciiTheme="minorEastAsia" w:hAnsiTheme="minorEastAsia" w:cstheme="minorEastAsia"/>
          <w:color w:val="000000" w:themeColor="text1"/>
          <w:sz w:val="24"/>
          <w:szCs w:val="24"/>
          <w:lang w:val="en-US"/>
          <w14:textFill>
            <w14:solidFill>
              <w14:schemeClr w14:val="tx1"/>
            </w14:solidFill>
          </w14:textFill>
        </w:rPr>
        <w:t>7.备选方案</w:t>
      </w:r>
      <w:bookmarkEnd w:id="54"/>
    </w:p>
    <w:p w14:paraId="4C7BE9D2">
      <w:pPr>
        <w:spacing w:before="0" w:after="0" w:line="560" w:lineRule="exact"/>
        <w:ind w:firstLine="480" w:firstLineChars="200"/>
        <w:rPr>
          <w:lang w:val="en-US"/>
        </w:rPr>
      </w:pPr>
      <w:r>
        <w:rPr>
          <w:rFonts w:hint="eastAsia" w:ascii="宋体" w:hAnsi="宋体"/>
          <w:sz w:val="24"/>
        </w:rPr>
        <w:t>本项目只接受唯一响应报价。不接受选择性报价、不接受具有附加条件的报价。凡供应商递交两种及以上方案或者两种及以上响应报价的，其投标将被否决。</w:t>
      </w:r>
    </w:p>
    <w:p w14:paraId="0D7960E3">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55" w:name="_Toc20957"/>
      <w:bookmarkStart w:id="56" w:name="_Toc3667"/>
      <w:bookmarkStart w:id="57" w:name="_Toc7249"/>
      <w:r>
        <w:rPr>
          <w:rFonts w:hint="eastAsia" w:asciiTheme="minorEastAsia" w:hAnsiTheme="minorEastAsia" w:cstheme="minorEastAsia"/>
          <w:color w:val="000000" w:themeColor="text1"/>
          <w:sz w:val="24"/>
          <w:szCs w:val="24"/>
          <w:lang w:val="en-US"/>
          <w14:textFill>
            <w14:solidFill>
              <w14:schemeClr w14:val="tx1"/>
            </w14:solidFill>
          </w14:textFill>
        </w:rPr>
        <w:t>8.递交响应文件</w:t>
      </w:r>
      <w:bookmarkEnd w:id="55"/>
      <w:bookmarkEnd w:id="56"/>
      <w:bookmarkEnd w:id="57"/>
    </w:p>
    <w:p w14:paraId="1253FD38">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rPr>
        <w:t xml:space="preserve">8.1 </w:t>
      </w:r>
      <w:r>
        <w:rPr>
          <w:rFonts w:hint="eastAsia" w:ascii="宋体" w:hAnsi="宋体" w:eastAsia="宋体" w:cs="宋体"/>
          <w:sz w:val="24"/>
          <w:szCs w:val="24"/>
        </w:rPr>
        <w:t>响应文件须按要求签字盖章后，以PDF格式上传。电子版文件命名格式为：公司名称—工程名称。</w:t>
      </w:r>
    </w:p>
    <w:p w14:paraId="11442FC5">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8.2 本项目要求提供加密电子响应文件，响应文件的制作应满足以下规定：</w:t>
      </w:r>
    </w:p>
    <w:p w14:paraId="1D99F8F2">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（1）在“响应文件格式”中要求盖供应商电子签章处，供应商均应加盖供应商电子签章。</w:t>
      </w:r>
    </w:p>
    <w:p w14:paraId="5A3EF015">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w:t>
      </w:r>
      <w:r>
        <w:rPr>
          <w:rFonts w:hint="eastAsia" w:ascii="宋体" w:hAnsi="宋体" w:eastAsia="宋体" w:cs="宋体"/>
          <w:sz w:val="24"/>
          <w:szCs w:val="24"/>
          <w:lang w:val="en-US" w:eastAsia="zh-CN"/>
        </w:rPr>
        <w:t>2</w:t>
      </w:r>
      <w:r>
        <w:rPr>
          <w:rFonts w:hint="eastAsia" w:ascii="宋体" w:hAnsi="宋体" w:eastAsia="宋体" w:cs="宋体"/>
          <w:sz w:val="24"/>
          <w:szCs w:val="24"/>
          <w:lang w:val="en-US"/>
        </w:rPr>
        <w:t>）响应文件制作完成后，供应商应对响应文件进行文件加密，形成加密的响应文件。</w:t>
      </w:r>
    </w:p>
    <w:p w14:paraId="1C249582">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8.3 响应文件应于规定的询比截止日期之前上传至系统。</w:t>
      </w:r>
    </w:p>
    <w:p w14:paraId="108565F9">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8.4 响应文件的修改和撤回</w:t>
      </w:r>
    </w:p>
    <w:p w14:paraId="5D68377D">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（1）供应商在上传响应文件后，可以修改或撤回，但这种修改和撤回，必须在规定的询比截止时间前。在询比截止时间后，供应商不得再要求修改或撤销其响应文件。</w:t>
      </w:r>
    </w:p>
    <w:p w14:paraId="200C1889">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（2）从询比截止期至响应文件有效期结束为止，供应商不得撤销其投标，否则将不予退还其询比保证金。</w:t>
      </w:r>
    </w:p>
    <w:p w14:paraId="3A0D384D">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58" w:name="bookmark30"/>
      <w:bookmarkEnd w:id="58"/>
      <w:bookmarkStart w:id="59" w:name="_Toc11975"/>
      <w:bookmarkStart w:id="60" w:name="_Toc25102"/>
      <w:bookmarkStart w:id="61" w:name="_Toc869"/>
      <w:r>
        <w:rPr>
          <w:rFonts w:hint="eastAsia" w:asciiTheme="minorEastAsia" w:hAnsiTheme="minorEastAsia" w:cstheme="minorEastAsia"/>
          <w:color w:val="000000" w:themeColor="text1"/>
          <w:sz w:val="24"/>
          <w:szCs w:val="24"/>
          <w:lang w:val="en-US"/>
          <w14:textFill>
            <w14:solidFill>
              <w14:schemeClr w14:val="tx1"/>
            </w14:solidFill>
          </w14:textFill>
        </w:rPr>
        <w:t>9.评审</w:t>
      </w:r>
      <w:bookmarkEnd w:id="59"/>
      <w:bookmarkEnd w:id="60"/>
      <w:bookmarkEnd w:id="61"/>
    </w:p>
    <w:p w14:paraId="090E9925">
      <w:pPr>
        <w:spacing w:before="0" w:after="0" w:line="560" w:lineRule="exact"/>
        <w:ind w:firstLine="482" w:firstLineChars="200"/>
        <w:rPr>
          <w:rFonts w:hint="eastAsia" w:ascii="宋体" w:hAnsi="宋体" w:eastAsia="宋体" w:cs="宋体"/>
          <w:b/>
          <w:bCs/>
          <w:color w:val="auto"/>
          <w:sz w:val="24"/>
          <w:szCs w:val="24"/>
        </w:rPr>
      </w:pPr>
      <w:bookmarkStart w:id="62" w:name="_Toc2566"/>
      <w:r>
        <w:rPr>
          <w:rFonts w:hint="eastAsia" w:ascii="宋体" w:hAnsi="宋体" w:eastAsia="宋体" w:cs="宋体"/>
          <w:b/>
          <w:bCs/>
          <w:color w:val="auto"/>
          <w:sz w:val="24"/>
          <w:szCs w:val="24"/>
        </w:rPr>
        <w:t>响应文件的初步评审</w:t>
      </w:r>
    </w:p>
    <w:p w14:paraId="716EA58A">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9.1评</w:t>
      </w:r>
      <w:r>
        <w:rPr>
          <w:rFonts w:hint="eastAsia" w:ascii="宋体" w:hAnsi="宋体" w:eastAsia="宋体" w:cs="宋体"/>
          <w:color w:val="auto"/>
          <w:sz w:val="24"/>
          <w:szCs w:val="24"/>
          <w:lang w:val="en-US"/>
        </w:rPr>
        <w:t>审</w:t>
      </w:r>
      <w:r>
        <w:rPr>
          <w:rFonts w:hint="eastAsia" w:ascii="宋体" w:hAnsi="宋体" w:eastAsia="宋体" w:cs="宋体"/>
          <w:color w:val="auto"/>
          <w:sz w:val="24"/>
          <w:szCs w:val="24"/>
        </w:rPr>
        <w:t>由依照有关规定组建的</w:t>
      </w:r>
      <w:r>
        <w:rPr>
          <w:rFonts w:hint="eastAsia" w:ascii="宋体" w:hAnsi="宋体" w:eastAsia="宋体" w:cs="宋体"/>
          <w:color w:val="auto"/>
          <w:sz w:val="24"/>
          <w:szCs w:val="24"/>
          <w:lang w:val="en-US"/>
        </w:rPr>
        <w:t>评审</w:t>
      </w:r>
      <w:r>
        <w:rPr>
          <w:rFonts w:hint="eastAsia" w:ascii="宋体" w:hAnsi="宋体" w:eastAsia="宋体" w:cs="宋体"/>
          <w:color w:val="auto"/>
          <w:sz w:val="24"/>
          <w:szCs w:val="24"/>
        </w:rPr>
        <w:t>小组负责，</w:t>
      </w:r>
      <w:r>
        <w:rPr>
          <w:rFonts w:hint="eastAsia" w:ascii="宋体" w:hAnsi="宋体" w:eastAsia="宋体" w:cs="宋体"/>
          <w:color w:val="auto"/>
          <w:sz w:val="24"/>
          <w:szCs w:val="24"/>
          <w:lang w:val="en-US"/>
        </w:rPr>
        <w:t>一般由3人及以上的人员组成</w:t>
      </w:r>
      <w:r>
        <w:rPr>
          <w:rFonts w:hint="eastAsia" w:ascii="宋体" w:hAnsi="宋体" w:eastAsia="宋体" w:cs="宋体"/>
          <w:color w:val="auto"/>
          <w:sz w:val="24"/>
          <w:szCs w:val="24"/>
        </w:rPr>
        <w:t>。按照评审文件确定的方法进行评审。在详细评审之前，评</w:t>
      </w:r>
      <w:r>
        <w:rPr>
          <w:rFonts w:hint="eastAsia" w:ascii="宋体" w:hAnsi="宋体" w:eastAsia="宋体" w:cs="宋体"/>
          <w:color w:val="auto"/>
          <w:sz w:val="24"/>
          <w:szCs w:val="24"/>
          <w:lang w:val="en-US"/>
        </w:rPr>
        <w:t>审</w:t>
      </w:r>
      <w:r>
        <w:rPr>
          <w:rFonts w:hint="eastAsia" w:ascii="宋体" w:hAnsi="宋体" w:eastAsia="宋体" w:cs="宋体"/>
          <w:color w:val="auto"/>
          <w:sz w:val="24"/>
          <w:szCs w:val="24"/>
        </w:rPr>
        <w:t>小组将判定每个响应文件是否完整以及是否实质性响应了</w:t>
      </w:r>
      <w:r>
        <w:rPr>
          <w:rFonts w:hint="eastAsia" w:ascii="宋体" w:hAnsi="宋体" w:eastAsia="宋体" w:cs="宋体"/>
          <w:color w:val="auto"/>
          <w:sz w:val="24"/>
          <w:szCs w:val="24"/>
          <w:lang w:val="en-US"/>
        </w:rPr>
        <w:t>询比</w:t>
      </w:r>
      <w:r>
        <w:rPr>
          <w:rFonts w:hint="eastAsia" w:ascii="宋体" w:hAnsi="宋体" w:eastAsia="宋体" w:cs="宋体"/>
          <w:color w:val="auto"/>
          <w:sz w:val="24"/>
          <w:szCs w:val="24"/>
        </w:rPr>
        <w:t>文件的要求。</w:t>
      </w:r>
    </w:p>
    <w:p w14:paraId="39F6C0A3">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9.2</w:t>
      </w:r>
      <w:r>
        <w:rPr>
          <w:rFonts w:hint="eastAsia" w:ascii="宋体" w:hAnsi="宋体" w:eastAsia="宋体" w:cs="宋体"/>
          <w:color w:val="auto"/>
          <w:sz w:val="24"/>
          <w:szCs w:val="24"/>
        </w:rPr>
        <w:t>评</w:t>
      </w:r>
      <w:r>
        <w:rPr>
          <w:rFonts w:hint="eastAsia" w:ascii="宋体" w:hAnsi="宋体" w:eastAsia="宋体" w:cs="宋体"/>
          <w:color w:val="auto"/>
          <w:sz w:val="24"/>
          <w:szCs w:val="24"/>
          <w:lang w:val="en-US"/>
        </w:rPr>
        <w:t>审</w:t>
      </w:r>
      <w:r>
        <w:rPr>
          <w:rFonts w:hint="eastAsia" w:ascii="宋体" w:hAnsi="宋体" w:eastAsia="宋体" w:cs="宋体"/>
          <w:color w:val="auto"/>
          <w:sz w:val="24"/>
          <w:szCs w:val="24"/>
        </w:rPr>
        <w:t>过程中，评</w:t>
      </w:r>
      <w:r>
        <w:rPr>
          <w:rFonts w:hint="eastAsia" w:ascii="宋体" w:hAnsi="宋体" w:eastAsia="宋体" w:cs="宋体"/>
          <w:color w:val="auto"/>
          <w:sz w:val="24"/>
          <w:szCs w:val="24"/>
          <w:lang w:val="en-US"/>
        </w:rPr>
        <w:t>审</w:t>
      </w:r>
      <w:r>
        <w:rPr>
          <w:rFonts w:hint="eastAsia" w:ascii="宋体" w:hAnsi="宋体" w:eastAsia="宋体" w:cs="宋体"/>
          <w:color w:val="auto"/>
          <w:sz w:val="24"/>
          <w:szCs w:val="24"/>
        </w:rPr>
        <w:t>小组成员有回避事由、擅离职守或者因健康等原因不能继续评</w:t>
      </w:r>
      <w:r>
        <w:rPr>
          <w:rFonts w:hint="eastAsia" w:ascii="宋体" w:hAnsi="宋体" w:eastAsia="宋体" w:cs="宋体"/>
          <w:color w:val="auto"/>
          <w:sz w:val="24"/>
          <w:szCs w:val="24"/>
          <w:lang w:val="en-US"/>
        </w:rPr>
        <w:t>审</w:t>
      </w:r>
      <w:r>
        <w:rPr>
          <w:rFonts w:hint="eastAsia" w:ascii="宋体" w:hAnsi="宋体" w:eastAsia="宋体" w:cs="宋体"/>
          <w:color w:val="auto"/>
          <w:sz w:val="24"/>
          <w:szCs w:val="24"/>
        </w:rPr>
        <w:t>的，采购人有权更换。被更换的评</w:t>
      </w:r>
      <w:r>
        <w:rPr>
          <w:rFonts w:hint="eastAsia" w:ascii="宋体" w:hAnsi="宋体" w:eastAsia="宋体" w:cs="宋体"/>
          <w:color w:val="auto"/>
          <w:sz w:val="24"/>
          <w:szCs w:val="24"/>
          <w:lang w:val="en-US"/>
        </w:rPr>
        <w:t>审</w:t>
      </w:r>
      <w:r>
        <w:rPr>
          <w:rFonts w:hint="eastAsia" w:ascii="宋体" w:hAnsi="宋体" w:eastAsia="宋体" w:cs="宋体"/>
          <w:color w:val="auto"/>
          <w:sz w:val="24"/>
          <w:szCs w:val="24"/>
        </w:rPr>
        <w:t>小组成员作出的评审结论无效，由更换后的评</w:t>
      </w:r>
      <w:r>
        <w:rPr>
          <w:rFonts w:hint="eastAsia" w:ascii="宋体" w:hAnsi="宋体" w:eastAsia="宋体" w:cs="宋体"/>
          <w:color w:val="auto"/>
          <w:sz w:val="24"/>
          <w:szCs w:val="24"/>
          <w:lang w:val="en-US"/>
        </w:rPr>
        <w:t>审</w:t>
      </w:r>
      <w:r>
        <w:rPr>
          <w:rFonts w:hint="eastAsia" w:ascii="宋体" w:hAnsi="宋体" w:eastAsia="宋体" w:cs="宋体"/>
          <w:color w:val="auto"/>
          <w:sz w:val="24"/>
          <w:szCs w:val="24"/>
        </w:rPr>
        <w:t>评审小组成员重新进行评审。</w:t>
      </w:r>
    </w:p>
    <w:p w14:paraId="342AFBBD">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9.3</w:t>
      </w:r>
      <w:r>
        <w:rPr>
          <w:rFonts w:hint="eastAsia" w:ascii="宋体" w:hAnsi="宋体" w:eastAsia="宋体" w:cs="宋体"/>
          <w:color w:val="auto"/>
          <w:sz w:val="24"/>
          <w:szCs w:val="24"/>
        </w:rPr>
        <w:t>如发现有下列情形之一的，其</w:t>
      </w:r>
      <w:r>
        <w:rPr>
          <w:rFonts w:hint="eastAsia" w:ascii="宋体" w:hAnsi="宋体" w:eastAsia="宋体" w:cs="宋体"/>
          <w:color w:val="auto"/>
          <w:sz w:val="24"/>
          <w:szCs w:val="24"/>
          <w:lang w:val="en-US"/>
        </w:rPr>
        <w:t>响应</w:t>
      </w:r>
      <w:r>
        <w:rPr>
          <w:rFonts w:hint="eastAsia" w:ascii="宋体" w:hAnsi="宋体" w:eastAsia="宋体" w:cs="宋体"/>
          <w:color w:val="auto"/>
          <w:sz w:val="24"/>
          <w:szCs w:val="24"/>
        </w:rPr>
        <w:t>将被否决：</w:t>
      </w:r>
    </w:p>
    <w:p w14:paraId="37B12994">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1）供应商未提交评审保证金或保证金金额不足的；</w:t>
      </w:r>
    </w:p>
    <w:p w14:paraId="115BD18E">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2）初步评审中：资格和资质证明文件不全的或不满足评审文件的资格要求的；</w:t>
      </w:r>
    </w:p>
    <w:p w14:paraId="123D177C">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3）评审有效期不足的；</w:t>
      </w:r>
    </w:p>
    <w:p w14:paraId="73E85FC3">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4）响应文件商务和技术条款有重大偏离的；</w:t>
      </w:r>
    </w:p>
    <w:p w14:paraId="36CBFD2F">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5）未提供评审文件要求的相关评审材料或格式文件造成重大影响无法评审的；</w:t>
      </w:r>
    </w:p>
    <w:p w14:paraId="04AD5520">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6）响应文件提供虚假材料的；</w:t>
      </w:r>
    </w:p>
    <w:p w14:paraId="3606E481">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7）响应文件附有采购人不能接受的条件的；</w:t>
      </w:r>
    </w:p>
    <w:p w14:paraId="23903089">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8) </w:t>
      </w:r>
      <w:r>
        <w:rPr>
          <w:rFonts w:hint="eastAsia" w:ascii="宋体" w:hAnsi="宋体" w:eastAsia="宋体" w:cs="宋体"/>
          <w:color w:val="auto"/>
          <w:sz w:val="24"/>
          <w:szCs w:val="24"/>
          <w:lang w:val="en-US"/>
        </w:rPr>
        <w:t>评审</w:t>
      </w:r>
      <w:r>
        <w:rPr>
          <w:rFonts w:hint="eastAsia" w:ascii="宋体" w:hAnsi="宋体" w:eastAsia="宋体" w:cs="宋体"/>
          <w:color w:val="auto"/>
          <w:sz w:val="24"/>
          <w:szCs w:val="24"/>
        </w:rPr>
        <w:t>小组发现供应商的报价明显低于其它响应报价，而供应商不能合理说明或者不能提供相关证明材料，由评审小组认定该供应商以低于成本报价竞标的；</w:t>
      </w:r>
    </w:p>
    <w:p w14:paraId="51E97785">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9）不符合评审文件中规定的其它实质性要求的；</w:t>
      </w:r>
    </w:p>
    <w:p w14:paraId="37DB177A">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10）在评标过程中，评审小组发现供应商以他人的名义投标、串通投标、以行贿手段谋取成交或者以其它弄虚作假方式投标的；</w:t>
      </w:r>
    </w:p>
    <w:p w14:paraId="1AF4C3B1">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11）法律法规规定的其他否决投标的情形。</w:t>
      </w:r>
    </w:p>
    <w:p w14:paraId="34865B0F">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9.4</w:t>
      </w:r>
      <w:r>
        <w:rPr>
          <w:rFonts w:hint="eastAsia" w:ascii="宋体" w:hAnsi="宋体" w:eastAsia="宋体" w:cs="宋体"/>
          <w:color w:val="auto"/>
          <w:sz w:val="24"/>
          <w:szCs w:val="24"/>
        </w:rPr>
        <w:t>评审小组只对在初审中确定为实质性响应的响应文件进行进一步的详细评审。</w:t>
      </w:r>
    </w:p>
    <w:p w14:paraId="6BBF2CE5">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9.5</w:t>
      </w:r>
      <w:r>
        <w:rPr>
          <w:rFonts w:hint="eastAsia" w:ascii="宋体" w:hAnsi="宋体" w:eastAsia="宋体" w:cs="宋体"/>
          <w:color w:val="auto"/>
          <w:sz w:val="24"/>
          <w:szCs w:val="24"/>
        </w:rPr>
        <w:t>出现下列情况之一时，评审小组有权宣布废标：</w:t>
      </w:r>
    </w:p>
    <w:p w14:paraId="4FCB26C8">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1）有效供应商数量不足，导致本次招标缺乏竞争的；</w:t>
      </w:r>
    </w:p>
    <w:p w14:paraId="3D3245FE">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0091C437">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3）报价人的报价均超过了采购预算，采购人不能支付的；</w:t>
      </w:r>
    </w:p>
    <w:p w14:paraId="5DAFDAF1">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1411EEAE">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5）评委评审后一致认定应予废标的。</w:t>
      </w:r>
    </w:p>
    <w:p w14:paraId="606A6111">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9.6</w:t>
      </w:r>
      <w:r>
        <w:rPr>
          <w:rFonts w:hint="eastAsia" w:ascii="宋体" w:hAnsi="宋体" w:eastAsia="宋体" w:cs="宋体"/>
          <w:color w:val="auto"/>
          <w:sz w:val="24"/>
          <w:szCs w:val="24"/>
        </w:rPr>
        <w:t>评审文件中如明确标明需要携带的各项证书资格、资质、获奖证书、证明文件、合同、成交通知书等以备评审小组查验的原件，请将相关原件单独用一个密封袋封装，注明“原件”和“供应商全称”字样并列明清单，相关原件返还时应当场清点，事后提出异议的，概不受理。</w:t>
      </w:r>
    </w:p>
    <w:p w14:paraId="534E734E">
      <w:pPr>
        <w:spacing w:before="0" w:after="0" w:line="56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响应文件的澄清</w:t>
      </w:r>
    </w:p>
    <w:p w14:paraId="527C591E">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9.7</w:t>
      </w:r>
      <w:r>
        <w:rPr>
          <w:rFonts w:hint="eastAsia" w:ascii="宋体" w:hAnsi="宋体" w:eastAsia="宋体" w:cs="宋体"/>
          <w:color w:val="auto"/>
          <w:sz w:val="24"/>
          <w:szCs w:val="24"/>
        </w:rPr>
        <w:t>对于响应文件中含义不明确、同类问题表述不一致或者有明显文字和计算错误的内容，评审小组应当以书面形式要求供应商作出必要的澄清、说明或者补正。</w:t>
      </w:r>
    </w:p>
    <w:p w14:paraId="404F43D4">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9.8</w:t>
      </w:r>
      <w:r>
        <w:rPr>
          <w:rFonts w:hint="eastAsia" w:ascii="宋体" w:hAnsi="宋体" w:eastAsia="宋体" w:cs="宋体"/>
          <w:color w:val="auto"/>
          <w:sz w:val="24"/>
          <w:szCs w:val="24"/>
        </w:rPr>
        <w:t>如需要对响应文件作出澄清、说明或者补正的，供应商应及时登陆安天e采在线开标系统并在规定时间内予以回复确认。</w:t>
      </w:r>
    </w:p>
    <w:p w14:paraId="2B13F2E6">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9.9</w:t>
      </w:r>
      <w:r>
        <w:rPr>
          <w:rFonts w:hint="eastAsia" w:ascii="宋体" w:hAnsi="宋体" w:eastAsia="宋体" w:cs="宋体"/>
          <w:color w:val="auto"/>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16C9C607">
      <w:pPr>
        <w:spacing w:before="0" w:after="0" w:line="56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响应文件的详细评审</w:t>
      </w:r>
    </w:p>
    <w:p w14:paraId="7BDD3441">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9.10</w:t>
      </w:r>
      <w:r>
        <w:rPr>
          <w:rFonts w:hint="eastAsia" w:ascii="宋体" w:hAnsi="宋体" w:eastAsia="宋体" w:cs="宋体"/>
          <w:color w:val="auto"/>
          <w:sz w:val="24"/>
          <w:szCs w:val="24"/>
        </w:rPr>
        <w:t>在初步评审中，若评审小组成员对同一供应商的评审结论不一致的，按照少数服从多数原则确定最终初步评审结论。评审小组只对通过初步评审的响应文件进行详细评审。</w:t>
      </w:r>
    </w:p>
    <w:p w14:paraId="2BE8A9E7">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9.11</w:t>
      </w:r>
      <w:r>
        <w:rPr>
          <w:rFonts w:hint="eastAsia" w:ascii="宋体" w:hAnsi="宋体" w:eastAsia="宋体" w:cs="宋体"/>
          <w:color w:val="auto"/>
          <w:sz w:val="24"/>
          <w:szCs w:val="24"/>
        </w:rPr>
        <w:t>响应文件报价出现前后不一致的，除供应商须知前附表另有规定外，按照下列规定修正：</w:t>
      </w:r>
    </w:p>
    <w:p w14:paraId="42388265">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1）响应文件中开标一览表（报价表）内容与响应文件中相应内容不一致的，以开标一览表（报价表）为准；</w:t>
      </w:r>
    </w:p>
    <w:p w14:paraId="08E95A45">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2）大写金额和小写金额不一致的，以大写金额为准；</w:t>
      </w:r>
    </w:p>
    <w:p w14:paraId="2829CEED">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3）单价金额小数点或者百分比有明显错位的，以开标一览表的总价为准，并修改单价；</w:t>
      </w:r>
    </w:p>
    <w:p w14:paraId="39F8D2A5">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4）总价金额与按单价汇总金额不一致的，以单价金额计算结果为准。</w:t>
      </w:r>
    </w:p>
    <w:p w14:paraId="1954FCCB">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同时出现两种以上不一致的，按照前款规定的顺序修正。修正后的报价经供应商确认后产生约束力，供应商不确认的，其投标将被否决。</w:t>
      </w:r>
    </w:p>
    <w:p w14:paraId="1FC421F5">
      <w:pPr>
        <w:spacing w:before="0" w:after="0"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rPr>
        <w:t>9.12</w:t>
      </w:r>
      <w:r>
        <w:rPr>
          <w:rFonts w:hint="eastAsia" w:ascii="宋体" w:hAnsi="宋体" w:eastAsia="宋体" w:cs="宋体"/>
          <w:color w:val="auto"/>
          <w:sz w:val="24"/>
          <w:szCs w:val="24"/>
        </w:rPr>
        <w:t>合格供应商不足三家处理预案。响应文件递交截止时间后供应商不足三家的，或在评标期间出现符合资格条件的供应商或者对评审文件作实质响应的供应商不足三家情形的，采购人可以因竞争性不足宣布流标。</w:t>
      </w:r>
    </w:p>
    <w:p w14:paraId="061C2D73">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63" w:name="_Toc20528"/>
      <w:bookmarkStart w:id="64" w:name="_Toc1678"/>
      <w:r>
        <w:rPr>
          <w:rFonts w:hint="eastAsia" w:asciiTheme="minorEastAsia" w:hAnsiTheme="minorEastAsia" w:cstheme="minorEastAsia"/>
          <w:color w:val="000000" w:themeColor="text1"/>
          <w:sz w:val="24"/>
          <w:szCs w:val="24"/>
          <w:lang w:val="en-US"/>
          <w14:textFill>
            <w14:solidFill>
              <w14:schemeClr w14:val="tx1"/>
            </w14:solidFill>
          </w14:textFill>
        </w:rPr>
        <w:t>10.确定成交人</w:t>
      </w:r>
      <w:bookmarkEnd w:id="62"/>
      <w:bookmarkEnd w:id="63"/>
      <w:bookmarkEnd w:id="64"/>
    </w:p>
    <w:p w14:paraId="06A82656">
      <w:pPr>
        <w:spacing w:line="360" w:lineRule="auto"/>
        <w:ind w:firstLine="480" w:firstLineChars="200"/>
        <w:rPr>
          <w:rFonts w:hint="eastAsia" w:ascii="宋体" w:hAnsi="宋体" w:eastAsia="宋体" w:cs="宋体"/>
          <w:sz w:val="24"/>
          <w:szCs w:val="24"/>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1.评审委员会将依据评分结果，按照从高到低的顺序进行排序，并从中推荐三位响应方作为成</w:t>
      </w:r>
      <w:r>
        <w:rPr>
          <w:rFonts w:hint="eastAsia" w:ascii="宋体" w:hAnsi="宋体" w:eastAsia="宋体" w:cs="宋体"/>
          <w:sz w:val="24"/>
          <w:szCs w:val="24"/>
          <w:lang w:val="en-US" w:eastAsia="zh-CN"/>
        </w:rPr>
        <w:t>交候选人</w:t>
      </w:r>
      <w:r>
        <w:rPr>
          <w:rFonts w:hint="eastAsia" w:ascii="宋体" w:hAnsi="宋体" w:eastAsia="宋体" w:cs="宋体"/>
          <w:sz w:val="24"/>
          <w:szCs w:val="24"/>
        </w:rPr>
        <w:t>；</w:t>
      </w:r>
    </w:p>
    <w:p w14:paraId="1ECB0CEC">
      <w:pPr>
        <w:spacing w:line="360" w:lineRule="auto"/>
        <w:ind w:firstLine="480" w:firstLineChars="200"/>
        <w:rPr>
          <w:rFonts w:hint="eastAsia" w:asciiTheme="minorEastAsia" w:hAnsiTheme="minorEastAsia" w:eastAsiaTheme="minorEastAsia" w:cstheme="minorEastAsia"/>
          <w:sz w:val="24"/>
          <w:szCs w:val="24"/>
          <w:lang w:val="zh-CN" w:eastAsia="zh-CN"/>
        </w:rPr>
      </w:pPr>
      <w:r>
        <w:rPr>
          <w:rFonts w:hint="eastAsia" w:asciiTheme="minorEastAsia" w:hAnsiTheme="minorEastAsia" w:cstheme="minorEastAsia"/>
          <w:sz w:val="24"/>
          <w:szCs w:val="24"/>
          <w:lang w:val="en-US" w:eastAsia="zh-CN"/>
        </w:rPr>
        <w:t>2.如果</w:t>
      </w:r>
      <w:r>
        <w:rPr>
          <w:rFonts w:hint="eastAsia" w:asciiTheme="minorEastAsia" w:hAnsiTheme="minorEastAsia" w:eastAsiaTheme="minorEastAsia" w:cstheme="minorEastAsia"/>
          <w:sz w:val="24"/>
          <w:szCs w:val="24"/>
          <w:lang w:val="zh-CN" w:eastAsia="zh-CN"/>
        </w:rPr>
        <w:t>第一</w:t>
      </w:r>
      <w:r>
        <w:rPr>
          <w:rFonts w:hint="eastAsia" w:asciiTheme="minorEastAsia" w:hAnsiTheme="minorEastAsia" w:cstheme="minorEastAsia"/>
          <w:sz w:val="24"/>
          <w:szCs w:val="24"/>
          <w:lang w:val="en-US" w:eastAsia="zh-CN"/>
        </w:rPr>
        <w:t>成交</w:t>
      </w:r>
      <w:r>
        <w:rPr>
          <w:rFonts w:hint="eastAsia" w:asciiTheme="minorEastAsia" w:hAnsiTheme="minorEastAsia" w:eastAsiaTheme="minorEastAsia" w:cstheme="minorEastAsia"/>
          <w:sz w:val="24"/>
          <w:szCs w:val="24"/>
          <w:lang w:val="zh-CN" w:eastAsia="zh-CN"/>
        </w:rPr>
        <w:t>候选</w:t>
      </w:r>
      <w:r>
        <w:rPr>
          <w:rFonts w:hint="eastAsia" w:asciiTheme="minorEastAsia" w:hAnsiTheme="minorEastAsia" w:cstheme="minorEastAsia"/>
          <w:sz w:val="24"/>
          <w:szCs w:val="24"/>
          <w:lang w:val="en-US" w:eastAsia="zh-CN"/>
        </w:rPr>
        <w:t>单位</w:t>
      </w:r>
      <w:r>
        <w:rPr>
          <w:rFonts w:hint="eastAsia" w:asciiTheme="minorEastAsia" w:hAnsiTheme="minorEastAsia" w:eastAsiaTheme="minorEastAsia" w:cstheme="minorEastAsia"/>
          <w:sz w:val="24"/>
          <w:szCs w:val="24"/>
          <w:lang w:val="zh-CN" w:eastAsia="zh-CN"/>
        </w:rPr>
        <w:t>由于种种原因，无法按时保质保量完成工作，</w:t>
      </w:r>
      <w:r>
        <w:rPr>
          <w:rFonts w:hint="eastAsia" w:asciiTheme="minorEastAsia" w:hAnsiTheme="minorEastAsia" w:cstheme="minorEastAsia"/>
          <w:sz w:val="24"/>
          <w:szCs w:val="24"/>
          <w:lang w:val="en-US" w:eastAsia="zh-CN"/>
        </w:rPr>
        <w:t>采购人有权选择重新采购或者</w:t>
      </w:r>
      <w:r>
        <w:rPr>
          <w:rFonts w:hint="eastAsia" w:asciiTheme="minorEastAsia" w:hAnsiTheme="minorEastAsia" w:eastAsiaTheme="minorEastAsia" w:cstheme="minorEastAsia"/>
          <w:sz w:val="24"/>
          <w:szCs w:val="24"/>
          <w:lang w:val="zh-CN" w:eastAsia="zh-CN"/>
        </w:rPr>
        <w:t>顺延</w:t>
      </w:r>
      <w:r>
        <w:rPr>
          <w:rFonts w:hint="eastAsia" w:asciiTheme="minorEastAsia" w:hAnsiTheme="minorEastAsia" w:cstheme="minorEastAsia"/>
          <w:sz w:val="24"/>
          <w:szCs w:val="24"/>
          <w:lang w:val="en-US" w:eastAsia="zh-CN"/>
        </w:rPr>
        <w:t>至</w:t>
      </w:r>
      <w:r>
        <w:rPr>
          <w:rFonts w:hint="eastAsia" w:asciiTheme="minorEastAsia" w:hAnsiTheme="minorEastAsia" w:eastAsiaTheme="minorEastAsia" w:cstheme="minorEastAsia"/>
          <w:sz w:val="24"/>
          <w:szCs w:val="24"/>
          <w:lang w:val="zh-CN" w:eastAsia="zh-CN"/>
        </w:rPr>
        <w:t>第二</w:t>
      </w:r>
      <w:r>
        <w:rPr>
          <w:rFonts w:hint="eastAsia" w:asciiTheme="minorEastAsia" w:hAnsiTheme="minorEastAsia" w:cstheme="minorEastAsia"/>
          <w:sz w:val="24"/>
          <w:szCs w:val="24"/>
          <w:lang w:val="en-US" w:eastAsia="zh-CN"/>
        </w:rPr>
        <w:t>名</w:t>
      </w:r>
      <w:r>
        <w:rPr>
          <w:rFonts w:hint="eastAsia" w:asciiTheme="minorEastAsia" w:hAnsiTheme="minorEastAsia" w:eastAsiaTheme="minorEastAsia" w:cstheme="minorEastAsia"/>
          <w:sz w:val="24"/>
          <w:szCs w:val="24"/>
          <w:lang w:val="zh-CN" w:eastAsia="zh-CN"/>
        </w:rPr>
        <w:t>候选</w:t>
      </w:r>
      <w:r>
        <w:rPr>
          <w:rFonts w:hint="eastAsia" w:asciiTheme="minorEastAsia" w:hAnsiTheme="minorEastAsia" w:cstheme="minorEastAsia"/>
          <w:sz w:val="24"/>
          <w:szCs w:val="24"/>
          <w:lang w:val="en-US" w:eastAsia="zh-CN"/>
        </w:rPr>
        <w:t>单位成交</w:t>
      </w:r>
      <w:r>
        <w:rPr>
          <w:rFonts w:hint="eastAsia" w:asciiTheme="minorEastAsia" w:hAnsiTheme="minorEastAsia" w:eastAsiaTheme="minorEastAsia" w:cstheme="minorEastAsia"/>
          <w:sz w:val="24"/>
          <w:szCs w:val="24"/>
          <w:lang w:val="zh-CN" w:eastAsia="zh-CN"/>
        </w:rPr>
        <w:t>，最终确定</w:t>
      </w:r>
      <w:r>
        <w:rPr>
          <w:rFonts w:hint="eastAsia" w:asciiTheme="minorEastAsia" w:hAnsiTheme="minorEastAsia" w:cstheme="minorEastAsia"/>
          <w:sz w:val="24"/>
          <w:szCs w:val="24"/>
          <w:lang w:val="en-US" w:eastAsia="zh-CN"/>
        </w:rPr>
        <w:t>成交单位</w:t>
      </w:r>
      <w:r>
        <w:rPr>
          <w:rFonts w:hint="eastAsia" w:asciiTheme="minorEastAsia" w:hAnsiTheme="minorEastAsia" w:eastAsiaTheme="minorEastAsia" w:cstheme="minorEastAsia"/>
          <w:sz w:val="24"/>
          <w:szCs w:val="24"/>
          <w:lang w:val="zh-CN" w:eastAsia="zh-CN"/>
        </w:rPr>
        <w:t>，</w:t>
      </w:r>
      <w:r>
        <w:rPr>
          <w:rFonts w:hint="eastAsia" w:asciiTheme="minorEastAsia" w:hAnsiTheme="minorEastAsia" w:eastAsiaTheme="minorEastAsia" w:cstheme="minorEastAsia"/>
          <w:sz w:val="24"/>
          <w:szCs w:val="24"/>
          <w:lang w:eastAsia="zh-CN"/>
        </w:rPr>
        <w:t>对未选中的报价单位，采购人无义务进行任何解释。</w:t>
      </w:r>
    </w:p>
    <w:p w14:paraId="2F1737E8">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经采购人复核后，最终确定其为成交人。</w:t>
      </w:r>
    </w:p>
    <w:p w14:paraId="5E2B39E0">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65" w:name="_Toc2261"/>
      <w:bookmarkStart w:id="66" w:name="_Toc3297"/>
      <w:bookmarkStart w:id="67" w:name="_Toc29811"/>
      <w:r>
        <w:rPr>
          <w:rFonts w:hint="eastAsia" w:asciiTheme="minorEastAsia" w:hAnsiTheme="minorEastAsia" w:cstheme="minorEastAsia"/>
          <w:color w:val="000000" w:themeColor="text1"/>
          <w:sz w:val="24"/>
          <w:szCs w:val="24"/>
          <w:lang w:val="en-US"/>
          <w14:textFill>
            <w14:solidFill>
              <w14:schemeClr w14:val="tx1"/>
            </w14:solidFill>
          </w14:textFill>
        </w:rPr>
        <w:t>11.成交通知</w:t>
      </w:r>
      <w:bookmarkEnd w:id="65"/>
      <w:bookmarkEnd w:id="66"/>
      <w:bookmarkEnd w:id="67"/>
    </w:p>
    <w:p w14:paraId="3B6ABFBF">
      <w:pPr>
        <w:spacing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在原采购公告发布媒介上发布成交公示，公示期为3个工作日；公示期满后，随即发布成交通知书。</w:t>
      </w:r>
    </w:p>
    <w:p w14:paraId="231DC7CC">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68" w:name="_Toc26032"/>
      <w:r>
        <w:rPr>
          <w:rFonts w:hint="eastAsia" w:asciiTheme="minorEastAsia" w:hAnsiTheme="minorEastAsia" w:cstheme="minorEastAsia"/>
          <w:color w:val="000000" w:themeColor="text1"/>
          <w:sz w:val="24"/>
          <w:szCs w:val="24"/>
          <w:lang w:val="en-US"/>
          <w14:textFill>
            <w14:solidFill>
              <w14:schemeClr w14:val="tx1"/>
            </w14:solidFill>
          </w14:textFill>
        </w:rPr>
        <w:t>12.重新招标</w:t>
      </w:r>
      <w:bookmarkEnd w:id="68"/>
    </w:p>
    <w:p w14:paraId="55E1638A">
      <w:pPr>
        <w:spacing w:line="400" w:lineRule="exact"/>
        <w:rPr>
          <w:rFonts w:hint="eastAsia" w:ascii="宋体" w:hAnsi="宋体"/>
          <w:sz w:val="24"/>
        </w:rPr>
      </w:pPr>
      <w:r>
        <w:rPr>
          <w:rFonts w:hint="eastAsia" w:ascii="宋体" w:hAnsi="宋体"/>
          <w:sz w:val="24"/>
        </w:rPr>
        <w:t>（1）本项目评审时将查询生成响应文件的硬件信息，如不同响应文件的硬件信息异常一致相同，相关投标将被认定为无效。</w:t>
      </w:r>
    </w:p>
    <w:p w14:paraId="5A4C614F">
      <w:pPr>
        <w:spacing w:line="400" w:lineRule="exact"/>
        <w:rPr>
          <w:rFonts w:hint="eastAsia" w:ascii="宋体" w:hAnsi="宋体"/>
          <w:sz w:val="24"/>
        </w:rPr>
      </w:pPr>
      <w:r>
        <w:rPr>
          <w:rFonts w:hint="eastAsia" w:ascii="宋体" w:hAnsi="宋体"/>
          <w:sz w:val="24"/>
        </w:rPr>
        <w:t>（2）因电子服务系统或电子交易系统出现软件设计或功能缺陷、运行异常等情况，影响招标投标活动正常进行的，参与招投标各方当事人免责。</w:t>
      </w:r>
    </w:p>
    <w:p w14:paraId="4F81B325">
      <w:pPr>
        <w:spacing w:line="400" w:lineRule="exact"/>
        <w:rPr>
          <w:rFonts w:hint="eastAsia" w:ascii="宋体" w:hAnsi="宋体"/>
          <w:sz w:val="24"/>
        </w:rPr>
      </w:pPr>
      <w:r>
        <w:rPr>
          <w:rFonts w:hint="eastAsia" w:ascii="宋体" w:hAnsi="宋体"/>
          <w:sz w:val="24"/>
        </w:rPr>
        <w:t>（3）有下列情形之一的，采购人将重新招标：</w:t>
      </w:r>
    </w:p>
    <w:p w14:paraId="2B8FBD03">
      <w:pPr>
        <w:spacing w:line="400" w:lineRule="exact"/>
        <w:rPr>
          <w:rFonts w:hint="eastAsia" w:ascii="宋体" w:hAnsi="宋体"/>
          <w:sz w:val="24"/>
        </w:rPr>
      </w:pPr>
      <w:r>
        <w:rPr>
          <w:rFonts w:hint="eastAsia" w:ascii="宋体" w:hAnsi="宋体"/>
          <w:sz w:val="24"/>
        </w:rPr>
        <w:t>1）</w:t>
      </w:r>
      <w:r>
        <w:rPr>
          <w:rFonts w:hint="eastAsia" w:ascii="宋体" w:hAnsi="宋体"/>
          <w:sz w:val="24"/>
          <w:lang w:val="en-US"/>
        </w:rPr>
        <w:t>询比</w:t>
      </w:r>
      <w:r>
        <w:rPr>
          <w:rFonts w:hint="eastAsia" w:ascii="宋体" w:hAnsi="宋体"/>
          <w:sz w:val="24"/>
        </w:rPr>
        <w:t>截止时间止，供应商少于3个的；</w:t>
      </w:r>
    </w:p>
    <w:p w14:paraId="07BAAEB7">
      <w:pPr>
        <w:spacing w:line="400" w:lineRule="exact"/>
        <w:rPr>
          <w:rFonts w:hint="eastAsia" w:ascii="宋体" w:hAnsi="宋体"/>
          <w:sz w:val="24"/>
        </w:rPr>
      </w:pPr>
      <w:r>
        <w:rPr>
          <w:rFonts w:hint="eastAsia" w:ascii="宋体" w:hAnsi="宋体"/>
          <w:sz w:val="24"/>
        </w:rPr>
        <w:t>2）经</w:t>
      </w:r>
      <w:r>
        <w:rPr>
          <w:rFonts w:hint="eastAsia" w:ascii="宋体" w:hAnsi="宋体"/>
          <w:sz w:val="24"/>
          <w:lang w:val="en-US"/>
        </w:rPr>
        <w:t>评审</w:t>
      </w:r>
      <w:r>
        <w:rPr>
          <w:rFonts w:hint="eastAsia" w:ascii="宋体" w:hAnsi="宋体"/>
          <w:sz w:val="24"/>
        </w:rPr>
        <w:t>小组评审后否决所有投标的；</w:t>
      </w:r>
    </w:p>
    <w:p w14:paraId="7C1AE585">
      <w:pPr>
        <w:spacing w:line="400" w:lineRule="exact"/>
        <w:rPr>
          <w:rFonts w:hint="eastAsia" w:ascii="宋体" w:hAnsi="宋体"/>
          <w:sz w:val="24"/>
        </w:rPr>
      </w:pPr>
      <w:r>
        <w:rPr>
          <w:rFonts w:hint="eastAsia" w:ascii="宋体" w:hAnsi="宋体"/>
          <w:sz w:val="24"/>
        </w:rPr>
        <w:t>3）法律、法规规定及评审文件约定的其他情形；</w:t>
      </w:r>
    </w:p>
    <w:p w14:paraId="2A0062D5">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69" w:name="_Toc28850"/>
      <w:bookmarkStart w:id="70" w:name="_Toc1625"/>
      <w:bookmarkStart w:id="71" w:name="_Toc10784"/>
      <w:r>
        <w:rPr>
          <w:rFonts w:hint="eastAsia" w:asciiTheme="minorEastAsia" w:hAnsiTheme="minorEastAsia" w:cstheme="minorEastAsia"/>
          <w:color w:val="000000" w:themeColor="text1"/>
          <w:sz w:val="24"/>
          <w:szCs w:val="24"/>
          <w:lang w:val="en-US"/>
          <w14:textFill>
            <w14:solidFill>
              <w14:schemeClr w14:val="tx1"/>
            </w14:solidFill>
          </w14:textFill>
        </w:rPr>
        <w:t>13.评审服务费</w:t>
      </w:r>
      <w:bookmarkEnd w:id="69"/>
      <w:bookmarkEnd w:id="70"/>
      <w:bookmarkEnd w:id="71"/>
    </w:p>
    <w:p w14:paraId="09422126">
      <w:pPr>
        <w:spacing w:before="0" w:after="0"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rPr>
        <w:t>支付</w:t>
      </w:r>
      <w:r>
        <w:rPr>
          <w:rFonts w:hint="eastAsia" w:ascii="宋体" w:hAnsi="宋体" w:eastAsia="宋体" w:cs="宋体"/>
          <w:sz w:val="24"/>
          <w:szCs w:val="24"/>
        </w:rPr>
        <w:t xml:space="preserve">金额：人民币 </w:t>
      </w:r>
      <w:r>
        <w:rPr>
          <w:rFonts w:hint="eastAsia" w:ascii="宋体" w:hAnsi="宋体" w:eastAsia="宋体" w:cs="宋体"/>
          <w:sz w:val="24"/>
          <w:szCs w:val="24"/>
          <w:lang w:val="en-US" w:eastAsia="zh-CN"/>
        </w:rPr>
        <w:t>1000</w:t>
      </w:r>
      <w:r>
        <w:rPr>
          <w:rFonts w:hint="eastAsia" w:ascii="宋体" w:hAnsi="宋体" w:eastAsia="宋体" w:cs="宋体"/>
          <w:sz w:val="24"/>
          <w:szCs w:val="24"/>
        </w:rPr>
        <w:t xml:space="preserve"> 元</w:t>
      </w:r>
      <w:r>
        <w:rPr>
          <w:rFonts w:hint="eastAsia" w:ascii="宋体" w:hAnsi="宋体" w:eastAsia="宋体" w:cs="宋体"/>
          <w:sz w:val="24"/>
          <w:szCs w:val="24"/>
          <w:lang w:eastAsia="zh-CN"/>
        </w:rPr>
        <w:t>。</w:t>
      </w:r>
    </w:p>
    <w:p w14:paraId="2F97EDE9">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rPr>
        <w:t>（</w:t>
      </w:r>
      <w:r>
        <w:rPr>
          <w:rFonts w:hint="eastAsia" w:ascii="宋体" w:hAnsi="宋体" w:eastAsia="宋体" w:cs="宋体"/>
          <w:sz w:val="24"/>
          <w:szCs w:val="24"/>
          <w:lang w:val="en-US"/>
        </w:rPr>
        <w:t>2</w:t>
      </w:r>
      <w:r>
        <w:rPr>
          <w:rFonts w:hint="eastAsia" w:ascii="宋体" w:hAnsi="宋体" w:eastAsia="宋体" w:cs="宋体"/>
          <w:sz w:val="24"/>
          <w:szCs w:val="24"/>
        </w:rPr>
        <w:t>）</w:t>
      </w:r>
      <w:r>
        <w:rPr>
          <w:rFonts w:hint="eastAsia" w:ascii="宋体" w:hAnsi="宋体" w:eastAsia="宋体" w:cs="宋体"/>
          <w:sz w:val="24"/>
          <w:szCs w:val="24"/>
          <w:lang w:val="en-US"/>
        </w:rPr>
        <w:t>支付时间</w:t>
      </w:r>
      <w:r>
        <w:rPr>
          <w:rFonts w:hint="eastAsia" w:ascii="宋体" w:hAnsi="宋体" w:eastAsia="宋体" w:cs="宋体"/>
          <w:sz w:val="24"/>
          <w:szCs w:val="24"/>
        </w:rPr>
        <w:t>：</w:t>
      </w:r>
      <w:r>
        <w:rPr>
          <w:rFonts w:hint="eastAsia" w:ascii="宋体" w:hAnsi="宋体" w:eastAsia="宋体" w:cs="宋体"/>
          <w:sz w:val="24"/>
          <w:szCs w:val="24"/>
          <w:lang w:val="en-US"/>
        </w:rPr>
        <w:t>成交单位在签订合同后10个工作日内缴纳。</w:t>
      </w:r>
    </w:p>
    <w:p w14:paraId="763BFD4D">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（3）支付方式：成交人支付</w:t>
      </w:r>
    </w:p>
    <w:p w14:paraId="45E6767A">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开户名∶淮北矿业（集团）工程建设有限责任公司</w:t>
      </w:r>
    </w:p>
    <w:p w14:paraId="6C18EC4A">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纳税人识别号∶9134600150820194C</w:t>
      </w:r>
    </w:p>
    <w:p w14:paraId="29FF52D6">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开户银行∶中国工商银行股份有限公司淮北人民东路支行</w:t>
      </w:r>
    </w:p>
    <w:p w14:paraId="0122725D">
      <w:pPr>
        <w:spacing w:before="0" w:after="0" w:line="560" w:lineRule="exact"/>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rPr>
        <w:t>账号∶9558851305000012717</w:t>
      </w:r>
    </w:p>
    <w:p w14:paraId="6DBCC709">
      <w:pPr>
        <w:spacing w:before="0" w:after="0"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rPr>
        <w:t>付款时需备注：</w:t>
      </w:r>
      <w:r>
        <w:rPr>
          <w:rFonts w:hint="eastAsia" w:asciiTheme="minorEastAsia" w:hAnsiTheme="minorEastAsia" w:cstheme="minorEastAsia"/>
          <w:color w:val="000000" w:themeColor="text1"/>
          <w:sz w:val="24"/>
          <w:szCs w:val="24"/>
          <w:highlight w:val="none"/>
          <w:u w:val="single"/>
          <w14:textFill>
            <w14:solidFill>
              <w14:schemeClr w14:val="tx1"/>
            </w14:solidFill>
          </w14:textFill>
        </w:rPr>
        <w:t>淮北矿业（集团）工程建设有限责任公司淮北高新区陶铝新材料产业园项目设计施工总承包冉邦地块北区—</w:t>
      </w:r>
      <w:r>
        <w:rPr>
          <w:rFonts w:hint="eastAsia" w:asciiTheme="minorEastAsia" w:hAnsiTheme="minorEastAsia" w:cstheme="minorEastAsia"/>
          <w:color w:val="000000" w:themeColor="text1"/>
          <w:sz w:val="24"/>
          <w:szCs w:val="24"/>
          <w:highlight w:val="none"/>
          <w:u w:val="single"/>
          <w:lang w:val="en-US" w:eastAsia="zh-CN"/>
          <w14:textFill>
            <w14:solidFill>
              <w14:schemeClr w14:val="tx1"/>
            </w14:solidFill>
          </w14:textFill>
        </w:rPr>
        <w:t>电梯</w:t>
      </w:r>
      <w:r>
        <w:rPr>
          <w:rFonts w:hint="eastAsia" w:asciiTheme="minorEastAsia" w:hAnsiTheme="minorEastAsia" w:cstheme="minorEastAsia"/>
          <w:color w:val="000000" w:themeColor="text1"/>
          <w:sz w:val="24"/>
          <w:szCs w:val="24"/>
          <w:highlight w:val="none"/>
          <w:u w:val="single"/>
          <w14:textFill>
            <w14:solidFill>
              <w14:schemeClr w14:val="tx1"/>
            </w14:solidFill>
          </w14:textFill>
        </w:rPr>
        <w:t>询比采购</w:t>
      </w:r>
      <w:r>
        <w:rPr>
          <w:rFonts w:hint="eastAsia" w:asciiTheme="minorEastAsia" w:hAnsiTheme="minorEastAsia" w:cstheme="minorEastAsia"/>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sz w:val="24"/>
          <w:szCs w:val="24"/>
          <w:highlight w:val="none"/>
          <w:lang w:val="en-US"/>
        </w:rPr>
        <w:t>评</w:t>
      </w:r>
      <w:r>
        <w:rPr>
          <w:rFonts w:hint="eastAsia" w:ascii="宋体" w:hAnsi="宋体" w:eastAsia="宋体" w:cs="宋体"/>
          <w:sz w:val="24"/>
          <w:szCs w:val="24"/>
          <w:lang w:val="en-US"/>
        </w:rPr>
        <w:t>审服务费</w:t>
      </w:r>
      <w:r>
        <w:rPr>
          <w:rFonts w:hint="eastAsia" w:ascii="宋体" w:hAnsi="宋体" w:eastAsia="宋体" w:cs="宋体"/>
          <w:sz w:val="24"/>
          <w:szCs w:val="24"/>
          <w:lang w:val="en-US" w:eastAsia="zh-CN"/>
        </w:rPr>
        <w:t>。</w:t>
      </w:r>
    </w:p>
    <w:p w14:paraId="0EC14724">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72" w:name="bookmark32"/>
      <w:bookmarkEnd w:id="72"/>
      <w:bookmarkStart w:id="73" w:name="_Toc11752"/>
      <w:bookmarkStart w:id="74" w:name="_Toc29420"/>
      <w:bookmarkStart w:id="75" w:name="_Toc6096"/>
      <w:r>
        <w:rPr>
          <w:rFonts w:hint="eastAsia" w:asciiTheme="minorEastAsia" w:hAnsiTheme="minorEastAsia" w:cstheme="minorEastAsia"/>
          <w:color w:val="000000" w:themeColor="text1"/>
          <w:sz w:val="24"/>
          <w:szCs w:val="24"/>
          <w:lang w:val="en-US"/>
          <w14:textFill>
            <w14:solidFill>
              <w14:schemeClr w14:val="tx1"/>
            </w14:solidFill>
          </w14:textFill>
        </w:rPr>
        <w:t>14.履约保证金</w:t>
      </w:r>
      <w:bookmarkEnd w:id="73"/>
      <w:bookmarkEnd w:id="74"/>
      <w:bookmarkEnd w:id="75"/>
    </w:p>
    <w:p w14:paraId="496E2503">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lang w:val="en-US"/>
        </w:rPr>
        <w:t>.1 缴纳金额：签订合同时成交</w:t>
      </w:r>
      <w:r>
        <w:rPr>
          <w:rFonts w:hint="eastAsia" w:ascii="宋体" w:hAnsi="宋体" w:eastAsia="宋体" w:cs="宋体"/>
          <w:sz w:val="24"/>
          <w:szCs w:val="24"/>
        </w:rPr>
        <w:t>单位缴纳合同金额的2%履约保证金。</w:t>
      </w:r>
      <w:r>
        <w:rPr>
          <w:rFonts w:hint="eastAsia" w:ascii="宋体" w:hAnsi="宋体" w:eastAsia="宋体" w:cs="宋体"/>
          <w:sz w:val="24"/>
          <w:szCs w:val="24"/>
          <w:lang w:val="en-US"/>
        </w:rPr>
        <w:t>可以采用</w:t>
      </w:r>
      <w:r>
        <w:rPr>
          <w:rFonts w:hint="eastAsia" w:ascii="宋体" w:hAnsi="宋体" w:eastAsia="宋体" w:cs="宋体"/>
          <w:sz w:val="24"/>
          <w:szCs w:val="24"/>
        </w:rPr>
        <w:t>现金转账、银行保函或保证保险的方式缴纳。履约期间无安全事故，在工程验收合格后无息退还。</w:t>
      </w:r>
    </w:p>
    <w:p w14:paraId="1F571DD4">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收款单位：淮北矿业(集团)工程建设有限责任公司</w:t>
      </w:r>
    </w:p>
    <w:p w14:paraId="2223CF30">
      <w:pPr>
        <w:spacing w:before="0" w:after="0"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开户银行∶中国工商银行股份有限公司淮北人民东路支行</w:t>
      </w:r>
      <w:r>
        <w:rPr>
          <w:rFonts w:hint="eastAsia" w:ascii="宋体" w:hAnsi="宋体" w:eastAsia="宋体" w:cs="宋体"/>
          <w:sz w:val="24"/>
          <w:szCs w:val="24"/>
          <w:lang w:eastAsia="zh-CN"/>
        </w:rPr>
        <w:t>。</w:t>
      </w:r>
    </w:p>
    <w:p w14:paraId="07241180">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账号∶9558851305000012717</w:t>
      </w:r>
    </w:p>
    <w:p w14:paraId="6E9C84DD">
      <w:pPr>
        <w:spacing w:before="0" w:after="0"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付款时需备注</w:t>
      </w:r>
      <w:r>
        <w:rPr>
          <w:rFonts w:hint="eastAsia" w:ascii="宋体" w:hAnsi="宋体" w:eastAsia="宋体" w:cs="宋体"/>
          <w:sz w:val="24"/>
          <w:szCs w:val="24"/>
          <w:highlight w:val="none"/>
          <w:lang w:eastAsia="zh-CN"/>
        </w:rPr>
        <w:t>：</w:t>
      </w:r>
      <w:r>
        <w:rPr>
          <w:rFonts w:hint="eastAsia" w:asciiTheme="minorEastAsia" w:hAnsiTheme="minorEastAsia" w:cstheme="minorEastAsia"/>
          <w:color w:val="000000" w:themeColor="text1"/>
          <w:sz w:val="24"/>
          <w:szCs w:val="24"/>
          <w:highlight w:val="none"/>
          <w:u w:val="single"/>
          <w14:textFill>
            <w14:solidFill>
              <w14:schemeClr w14:val="tx1"/>
            </w14:solidFill>
          </w14:textFill>
        </w:rPr>
        <w:t>淮北矿业（集团）工程建设有限责任公司淮北高新区陶铝新材料产业园项目设计施工总承包冉邦地块北区—</w:t>
      </w:r>
      <w:r>
        <w:rPr>
          <w:rFonts w:hint="eastAsia" w:asciiTheme="minorEastAsia" w:hAnsiTheme="minorEastAsia" w:cstheme="minorEastAsia"/>
          <w:color w:val="000000" w:themeColor="text1"/>
          <w:sz w:val="24"/>
          <w:szCs w:val="24"/>
          <w:highlight w:val="none"/>
          <w:u w:val="single"/>
          <w:lang w:val="en-US" w:eastAsia="zh-CN"/>
          <w14:textFill>
            <w14:solidFill>
              <w14:schemeClr w14:val="tx1"/>
            </w14:solidFill>
          </w14:textFill>
        </w:rPr>
        <w:t>电梯</w:t>
      </w:r>
      <w:r>
        <w:rPr>
          <w:rFonts w:hint="eastAsia" w:asciiTheme="minorEastAsia" w:hAnsiTheme="minorEastAsia" w:cstheme="minorEastAsia"/>
          <w:color w:val="000000" w:themeColor="text1"/>
          <w:sz w:val="24"/>
          <w:szCs w:val="24"/>
          <w:highlight w:val="none"/>
          <w:u w:val="single"/>
          <w14:textFill>
            <w14:solidFill>
              <w14:schemeClr w14:val="tx1"/>
            </w14:solidFill>
          </w14:textFill>
        </w:rPr>
        <w:t>询比采购</w:t>
      </w:r>
      <w:r>
        <w:rPr>
          <w:rFonts w:hint="eastAsia" w:asciiTheme="minorEastAsia" w:hAnsiTheme="minorEastAsia" w:cstheme="minorEastAsia"/>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rPr>
        <w:t>履约保证金</w:t>
      </w:r>
      <w:r>
        <w:rPr>
          <w:rFonts w:hint="eastAsia" w:ascii="宋体" w:hAnsi="宋体" w:eastAsia="宋体" w:cs="宋体"/>
          <w:sz w:val="24"/>
          <w:szCs w:val="24"/>
          <w:lang w:eastAsia="zh-CN"/>
        </w:rPr>
        <w:t>。</w:t>
      </w:r>
    </w:p>
    <w:p w14:paraId="4EA1AE9B">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76" w:name="_Toc27404"/>
      <w:bookmarkStart w:id="77" w:name="_Toc19128"/>
      <w:bookmarkStart w:id="78" w:name="_Toc20368"/>
      <w:r>
        <w:rPr>
          <w:rFonts w:hint="eastAsia" w:asciiTheme="minorEastAsia" w:hAnsiTheme="minorEastAsia" w:cstheme="minorEastAsia"/>
          <w:color w:val="000000" w:themeColor="text1"/>
          <w:sz w:val="24"/>
          <w:szCs w:val="24"/>
          <w:lang w:val="en-US"/>
          <w14:textFill>
            <w14:solidFill>
              <w14:schemeClr w14:val="tx1"/>
            </w14:solidFill>
          </w14:textFill>
        </w:rPr>
        <w:t>15.签订合同</w:t>
      </w:r>
      <w:bookmarkEnd w:id="76"/>
      <w:bookmarkEnd w:id="77"/>
      <w:bookmarkEnd w:id="78"/>
    </w:p>
    <w:p w14:paraId="22B2E3A2">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rPr>
        <w:t>成交人</w:t>
      </w:r>
      <w:r>
        <w:rPr>
          <w:rFonts w:hint="eastAsia" w:ascii="宋体" w:hAnsi="宋体" w:eastAsia="宋体" w:cs="宋体"/>
          <w:sz w:val="24"/>
          <w:szCs w:val="24"/>
        </w:rPr>
        <w:t>和</w:t>
      </w:r>
      <w:r>
        <w:rPr>
          <w:rFonts w:hint="eastAsia" w:ascii="宋体" w:hAnsi="宋体" w:eastAsia="宋体" w:cs="宋体"/>
          <w:sz w:val="24"/>
          <w:szCs w:val="24"/>
          <w:lang w:val="en-US"/>
        </w:rPr>
        <w:t>采购人</w:t>
      </w:r>
      <w:r>
        <w:rPr>
          <w:rFonts w:hint="eastAsia" w:ascii="宋体" w:hAnsi="宋体" w:eastAsia="宋体" w:cs="宋体"/>
          <w:sz w:val="24"/>
          <w:szCs w:val="24"/>
        </w:rPr>
        <w:t>应在</w:t>
      </w:r>
      <w:r>
        <w:rPr>
          <w:rFonts w:hint="eastAsia" w:ascii="宋体" w:hAnsi="宋体" w:eastAsia="宋体" w:cs="宋体"/>
          <w:sz w:val="24"/>
          <w:szCs w:val="24"/>
          <w:lang w:val="en-US"/>
        </w:rPr>
        <w:t>成交人</w:t>
      </w:r>
      <w:r>
        <w:rPr>
          <w:rFonts w:hint="eastAsia" w:ascii="宋体" w:hAnsi="宋体" w:eastAsia="宋体" w:cs="宋体"/>
          <w:sz w:val="24"/>
          <w:szCs w:val="24"/>
        </w:rPr>
        <w:t>收到成交通知书后</w:t>
      </w:r>
      <w:r>
        <w:rPr>
          <w:rFonts w:hint="eastAsia" w:ascii="宋体" w:hAnsi="宋体" w:eastAsia="宋体" w:cs="宋体"/>
          <w:sz w:val="24"/>
          <w:szCs w:val="24"/>
          <w:lang w:val="en-US" w:eastAsia="zh-CN"/>
        </w:rPr>
        <w:t>30</w:t>
      </w:r>
      <w:r>
        <w:rPr>
          <w:rFonts w:hint="eastAsia" w:ascii="宋体" w:hAnsi="宋体" w:eastAsia="宋体" w:cs="宋体"/>
          <w:sz w:val="24"/>
          <w:szCs w:val="24"/>
        </w:rPr>
        <w:t>天内根据</w:t>
      </w:r>
      <w:r>
        <w:rPr>
          <w:rFonts w:hint="eastAsia" w:ascii="宋体" w:hAnsi="宋体" w:eastAsia="宋体" w:cs="宋体"/>
          <w:sz w:val="24"/>
          <w:szCs w:val="24"/>
          <w:lang w:val="en-US"/>
        </w:rPr>
        <w:t>采购</w:t>
      </w:r>
      <w:r>
        <w:rPr>
          <w:rFonts w:hint="eastAsia" w:ascii="宋体" w:hAnsi="宋体" w:eastAsia="宋体" w:cs="宋体"/>
          <w:sz w:val="24"/>
          <w:szCs w:val="24"/>
        </w:rPr>
        <w:t>文件和</w:t>
      </w:r>
      <w:r>
        <w:rPr>
          <w:rFonts w:hint="eastAsia" w:ascii="宋体" w:hAnsi="宋体" w:eastAsia="宋体" w:cs="宋体"/>
          <w:sz w:val="24"/>
          <w:szCs w:val="24"/>
          <w:lang w:val="en-US"/>
        </w:rPr>
        <w:t>成交人的响应</w:t>
      </w:r>
      <w:r>
        <w:rPr>
          <w:rFonts w:hint="eastAsia" w:ascii="宋体" w:hAnsi="宋体" w:eastAsia="宋体" w:cs="宋体"/>
          <w:sz w:val="24"/>
          <w:szCs w:val="24"/>
        </w:rPr>
        <w:t>文件订立书面合同。</w:t>
      </w:r>
      <w:r>
        <w:rPr>
          <w:rFonts w:hint="eastAsia" w:ascii="宋体" w:hAnsi="宋体" w:eastAsia="宋体" w:cs="宋体"/>
          <w:sz w:val="24"/>
          <w:szCs w:val="24"/>
          <w:lang w:val="en-US"/>
        </w:rPr>
        <w:t>成交</w:t>
      </w:r>
      <w:r>
        <w:rPr>
          <w:rFonts w:hint="eastAsia" w:ascii="宋体" w:hAnsi="宋体" w:eastAsia="宋体" w:cs="宋体"/>
          <w:sz w:val="24"/>
          <w:szCs w:val="24"/>
        </w:rPr>
        <w:t>人无正当理由拒签合同，或不按照</w:t>
      </w:r>
      <w:r>
        <w:rPr>
          <w:rFonts w:hint="eastAsia" w:ascii="宋体" w:hAnsi="宋体" w:eastAsia="宋体" w:cs="宋体"/>
          <w:sz w:val="24"/>
          <w:szCs w:val="24"/>
          <w:lang w:val="en-US"/>
        </w:rPr>
        <w:t>采购</w:t>
      </w:r>
      <w:r>
        <w:rPr>
          <w:rFonts w:hint="eastAsia" w:ascii="宋体" w:hAnsi="宋体" w:eastAsia="宋体" w:cs="宋体"/>
          <w:sz w:val="24"/>
          <w:szCs w:val="24"/>
        </w:rPr>
        <w:t>文件要求提交履约保证金的，</w:t>
      </w:r>
      <w:r>
        <w:rPr>
          <w:rFonts w:hint="eastAsia" w:ascii="宋体" w:hAnsi="宋体" w:eastAsia="宋体" w:cs="宋体"/>
          <w:sz w:val="24"/>
          <w:szCs w:val="24"/>
          <w:lang w:val="en-US"/>
        </w:rPr>
        <w:t>取消成交</w:t>
      </w:r>
      <w:r>
        <w:rPr>
          <w:rFonts w:hint="eastAsia" w:ascii="宋体" w:hAnsi="宋体" w:eastAsia="宋体" w:cs="宋体"/>
          <w:sz w:val="24"/>
          <w:szCs w:val="24"/>
        </w:rPr>
        <w:t>资格；给</w:t>
      </w:r>
      <w:r>
        <w:rPr>
          <w:rFonts w:hint="eastAsia" w:ascii="宋体" w:hAnsi="宋体" w:eastAsia="宋体" w:cs="宋体"/>
          <w:sz w:val="24"/>
          <w:szCs w:val="24"/>
          <w:lang w:val="en-US"/>
        </w:rPr>
        <w:t>采购</w:t>
      </w:r>
      <w:r>
        <w:rPr>
          <w:rFonts w:hint="eastAsia" w:ascii="宋体" w:hAnsi="宋体" w:eastAsia="宋体" w:cs="宋体"/>
          <w:sz w:val="24"/>
          <w:szCs w:val="24"/>
        </w:rPr>
        <w:t>人造成的损失超</w:t>
      </w:r>
      <w:r>
        <w:rPr>
          <w:rFonts w:hint="eastAsia" w:ascii="宋体" w:hAnsi="宋体" w:eastAsia="宋体" w:cs="宋体"/>
          <w:sz w:val="24"/>
          <w:szCs w:val="24"/>
          <w:lang w:val="en-US"/>
        </w:rPr>
        <w:t>成交人</w:t>
      </w:r>
      <w:r>
        <w:rPr>
          <w:rFonts w:hint="eastAsia" w:ascii="宋体" w:hAnsi="宋体" w:eastAsia="宋体" w:cs="宋体"/>
          <w:sz w:val="24"/>
          <w:szCs w:val="24"/>
        </w:rPr>
        <w:t>应予以赔偿。</w:t>
      </w:r>
    </w:p>
    <w:p w14:paraId="39F03365">
      <w:pPr>
        <w:spacing w:before="0" w:after="0" w:line="560" w:lineRule="exact"/>
        <w:outlineLvl w:val="1"/>
        <w:rPr>
          <w:rFonts w:hint="eastAsia" w:asciiTheme="minorEastAsia" w:hAnsiTheme="minorEastAsia" w:cstheme="minorEastAsia"/>
          <w:color w:val="000000" w:themeColor="text1"/>
          <w:sz w:val="24"/>
          <w:szCs w:val="24"/>
          <w:lang w:val="en-US"/>
          <w14:textFill>
            <w14:solidFill>
              <w14:schemeClr w14:val="tx1"/>
            </w14:solidFill>
          </w14:textFill>
        </w:rPr>
      </w:pPr>
      <w:bookmarkStart w:id="79" w:name="bookmark34"/>
      <w:bookmarkEnd w:id="79"/>
      <w:bookmarkStart w:id="80" w:name="bookmark33"/>
      <w:bookmarkEnd w:id="80"/>
      <w:bookmarkStart w:id="81" w:name="_Toc29862"/>
      <w:bookmarkStart w:id="82" w:name="_Toc20810"/>
      <w:bookmarkStart w:id="83" w:name="_Toc17433"/>
      <w:r>
        <w:rPr>
          <w:rFonts w:hint="eastAsia" w:asciiTheme="minorEastAsia" w:hAnsiTheme="minorEastAsia" w:cstheme="minorEastAsia"/>
          <w:color w:val="000000" w:themeColor="text1"/>
          <w:sz w:val="24"/>
          <w:szCs w:val="24"/>
          <w:lang w:val="en-US"/>
          <w14:textFill>
            <w14:solidFill>
              <w14:schemeClr w14:val="tx1"/>
            </w14:solidFill>
          </w14:textFill>
        </w:rPr>
        <w:t>1</w:t>
      </w:r>
      <w:r>
        <w:rPr>
          <w:rFonts w:hint="eastAsia" w:asciiTheme="minorEastAsia" w:hAnsi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cstheme="minorEastAsia"/>
          <w:color w:val="000000" w:themeColor="text1"/>
          <w:sz w:val="24"/>
          <w:szCs w:val="24"/>
          <w:lang w:val="en-US"/>
          <w14:textFill>
            <w14:solidFill>
              <w14:schemeClr w14:val="tx1"/>
            </w14:solidFill>
          </w14:textFill>
        </w:rPr>
        <w:t>.需要补充的其他内容</w:t>
      </w:r>
      <w:bookmarkEnd w:id="81"/>
      <w:bookmarkEnd w:id="82"/>
      <w:bookmarkEnd w:id="83"/>
    </w:p>
    <w:p w14:paraId="169D3F4B">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rPr>
        <w:t>1.成交</w:t>
      </w:r>
      <w:r>
        <w:rPr>
          <w:rFonts w:hint="eastAsia" w:ascii="宋体" w:hAnsi="宋体" w:eastAsia="宋体" w:cs="宋体"/>
          <w:sz w:val="24"/>
          <w:szCs w:val="24"/>
        </w:rPr>
        <w:t>方</w:t>
      </w:r>
      <w:r>
        <w:rPr>
          <w:rFonts w:hint="eastAsia" w:ascii="宋体" w:hAnsi="宋体" w:eastAsia="宋体" w:cs="宋体"/>
          <w:sz w:val="24"/>
          <w:szCs w:val="24"/>
          <w:lang w:val="en-US"/>
        </w:rPr>
        <w:t>成交</w:t>
      </w:r>
      <w:r>
        <w:rPr>
          <w:rFonts w:hint="eastAsia" w:ascii="宋体" w:hAnsi="宋体" w:eastAsia="宋体" w:cs="宋体"/>
          <w:sz w:val="24"/>
          <w:szCs w:val="24"/>
        </w:rPr>
        <w:t>后一个月内，需拟定主要材料供货方案，包含详细的供货计划、供货渠道、品牌参数等方案材料。所提供的货物和材料在进场前，并经甲方进行审查确认方能进场投入使用，以确保项目使用的设备和材料符合相关标准和要求，能够满足项目的设计和功能需求以保证项目的质量，并确保设备的供应能够按照项目进度进行，避免因为供应延迟导致项目进度延误。</w:t>
      </w:r>
    </w:p>
    <w:p w14:paraId="26069A54">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val="en-US"/>
        </w:rPr>
        <w:t>.响应</w:t>
      </w:r>
      <w:r>
        <w:rPr>
          <w:rFonts w:hint="eastAsia" w:ascii="宋体" w:hAnsi="宋体" w:eastAsia="宋体" w:cs="宋体"/>
          <w:sz w:val="24"/>
          <w:szCs w:val="24"/>
        </w:rPr>
        <w:t>单位</w:t>
      </w:r>
      <w:r>
        <w:rPr>
          <w:rFonts w:hint="eastAsia" w:ascii="宋体" w:hAnsi="宋体" w:eastAsia="宋体" w:cs="宋体"/>
          <w:sz w:val="24"/>
          <w:szCs w:val="24"/>
          <w:lang w:val="en-US" w:eastAsia="zh-CN"/>
        </w:rPr>
        <w:t>报价应包含为完成本询比采购文件所确定的采购范围、并满足其各项要求所需的全部费用，包括但不限于材料本身、包装、装卸、运输、安装、利润、配合费、税金等。需满足现行相关标准及现行验收规范</w:t>
      </w:r>
      <w:r>
        <w:rPr>
          <w:rFonts w:hint="eastAsia" w:ascii="宋体" w:hAnsi="宋体" w:eastAsia="宋体" w:cs="宋体"/>
          <w:sz w:val="24"/>
          <w:szCs w:val="24"/>
        </w:rPr>
        <w:t>。</w:t>
      </w:r>
    </w:p>
    <w:p w14:paraId="6539F2CF">
      <w:pPr>
        <w:spacing w:before="0" w:after="0" w:line="560" w:lineRule="exact"/>
        <w:ind w:firstLine="480" w:firstLineChars="200"/>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本项目只接受唯一响应报价。不接受选择性报价、不接受具有附加条件的报价。凡供应商递交两种及以上方案或者两种及以上响应报价的，其投标将被否决。</w:t>
      </w:r>
    </w:p>
    <w:p w14:paraId="4A330720">
      <w:pPr>
        <w:spacing w:before="0" w:after="0" w:line="560" w:lineRule="exact"/>
        <w:ind w:firstLine="440" w:firstLineChars="200"/>
      </w:pPr>
      <w:r>
        <w:rPr>
          <w:rFonts w:hint="eastAsia"/>
        </w:rPr>
        <w:br w:type="page"/>
      </w:r>
    </w:p>
    <w:p w14:paraId="68A8BFC9">
      <w:pPr>
        <w:pStyle w:val="13"/>
        <w:spacing w:after="120" w:line="480" w:lineRule="exact"/>
        <w:jc w:val="center"/>
        <w:outlineLvl w:val="0"/>
        <w:rPr>
          <w:rFonts w:hint="eastAsia" w:hAnsi="宋体" w:eastAsia="宋体" w:cs="宋体"/>
          <w:b/>
          <w:sz w:val="30"/>
          <w:szCs w:val="36"/>
          <w:lang w:val="en-US"/>
        </w:rPr>
      </w:pPr>
      <w:bookmarkStart w:id="84" w:name="_Toc3833"/>
      <w:bookmarkStart w:id="85" w:name="_Toc16223"/>
      <w:r>
        <w:rPr>
          <w:rFonts w:hint="eastAsia" w:hAnsi="宋体" w:eastAsia="宋体" w:cs="宋体"/>
          <w:b/>
          <w:sz w:val="30"/>
          <w:szCs w:val="36"/>
          <w:lang w:val="en-US"/>
        </w:rPr>
        <w:t>三、淮北矿业电子招标采购平台其他注意事项：</w:t>
      </w:r>
      <w:bookmarkEnd w:id="84"/>
      <w:bookmarkEnd w:id="85"/>
    </w:p>
    <w:p w14:paraId="365EC455">
      <w:pPr>
        <w:spacing w:before="0" w:after="0" w:line="560" w:lineRule="exact"/>
        <w:rPr>
          <w:rFonts w:hint="eastAsia" w:ascii="宋体" w:hAnsi="宋体" w:eastAsia="黑体" w:cs="宋体"/>
          <w:sz w:val="28"/>
          <w:szCs w:val="28"/>
          <w:lang w:val="en-US"/>
        </w:rPr>
      </w:pPr>
      <w:bookmarkStart w:id="86" w:name="_Toc24939"/>
      <w:bookmarkStart w:id="87" w:name="_Toc20478"/>
      <w:bookmarkStart w:id="88" w:name="_Toc27732"/>
      <w:bookmarkStart w:id="89" w:name="_Toc1548"/>
      <w:bookmarkStart w:id="90" w:name="_Toc19500"/>
      <w:r>
        <w:rPr>
          <w:rFonts w:hint="eastAsia" w:ascii="宋体" w:hAnsi="宋体" w:eastAsia="黑体" w:cs="宋体"/>
          <w:sz w:val="28"/>
          <w:szCs w:val="28"/>
          <w:lang w:val="en-US"/>
        </w:rPr>
        <w:t>1.采购文件的澄清</w:t>
      </w:r>
      <w:bookmarkEnd w:id="86"/>
      <w:bookmarkEnd w:id="87"/>
      <w:bookmarkEnd w:id="88"/>
      <w:bookmarkEnd w:id="89"/>
      <w:bookmarkEnd w:id="90"/>
    </w:p>
    <w:p w14:paraId="7553B4FC">
      <w:pPr>
        <w:pStyle w:val="19"/>
        <w:widowControl w:val="0"/>
        <w:spacing w:before="0" w:after="0" w:line="560" w:lineRule="exact"/>
        <w:ind w:firstLine="480" w:firstLineChars="200"/>
        <w:rPr>
          <w:rFonts w:ascii="Times New Roman" w:hAnsi="Times New Roman" w:cs="Calibri"/>
          <w:kern w:val="2"/>
        </w:rPr>
      </w:pPr>
      <w:r>
        <w:rPr>
          <w:rFonts w:hint="eastAsia" w:ascii="Times New Roman" w:hAnsi="Times New Roman" w:cs="Calibri"/>
          <w:kern w:val="2"/>
        </w:rPr>
        <w:t>（一）</w:t>
      </w:r>
      <w:r>
        <w:rPr>
          <w:rFonts w:hint="eastAsia" w:ascii="Times New Roman" w:hAnsi="Times New Roman" w:cs="Calibri"/>
          <w:kern w:val="2"/>
          <w:lang w:val="en-US"/>
        </w:rPr>
        <w:t>响应</w:t>
      </w:r>
      <w:r>
        <w:rPr>
          <w:rFonts w:hint="eastAsia" w:ascii="Times New Roman" w:hAnsi="Times New Roman" w:cs="Calibri"/>
          <w:kern w:val="2"/>
        </w:rPr>
        <w:t>人应仔细阅读</w:t>
      </w:r>
      <w:r>
        <w:rPr>
          <w:rFonts w:hint="eastAsia" w:ascii="Times New Roman" w:hAnsi="Times New Roman" w:cs="Calibri"/>
          <w:kern w:val="2"/>
          <w:lang w:val="en-US"/>
        </w:rPr>
        <w:t>采购</w:t>
      </w:r>
      <w:r>
        <w:rPr>
          <w:rFonts w:hint="eastAsia" w:ascii="Times New Roman" w:hAnsi="Times New Roman" w:cs="Calibri"/>
          <w:kern w:val="2"/>
        </w:rPr>
        <w:t>文件的全部内容。如发现缺页或附件不全，应及时向</w:t>
      </w:r>
      <w:r>
        <w:rPr>
          <w:rFonts w:hint="eastAsia" w:ascii="Times New Roman" w:hAnsi="Times New Roman" w:cs="Calibri"/>
          <w:kern w:val="2"/>
          <w:lang w:val="en-US"/>
        </w:rPr>
        <w:t>采购</w:t>
      </w:r>
      <w:r>
        <w:rPr>
          <w:rFonts w:hint="eastAsia" w:ascii="Times New Roman" w:hAnsi="Times New Roman" w:cs="Calibri"/>
          <w:kern w:val="2"/>
        </w:rPr>
        <w:t>人提出，以便补齐。如有疑问，相关澄清要求应在</w:t>
      </w:r>
      <w:r>
        <w:rPr>
          <w:rFonts w:hint="eastAsia" w:ascii="Times New Roman" w:hAnsi="Times New Roman" w:cs="Calibri"/>
          <w:kern w:val="2"/>
          <w:lang w:val="en-US"/>
        </w:rPr>
        <w:t>响应</w:t>
      </w:r>
      <w:r>
        <w:rPr>
          <w:rFonts w:hint="eastAsia" w:ascii="Times New Roman" w:hAnsi="Times New Roman" w:cs="Calibri"/>
          <w:kern w:val="2"/>
        </w:rPr>
        <w:t>截止时间</w:t>
      </w:r>
      <w:r>
        <w:rPr>
          <w:rFonts w:hint="eastAsia" w:ascii="Times New Roman" w:hAnsi="Times New Roman" w:cs="Calibri"/>
          <w:kern w:val="2"/>
          <w:lang w:val="en-US"/>
        </w:rPr>
        <w:t>3个工作</w:t>
      </w:r>
      <w:r>
        <w:rPr>
          <w:rFonts w:hint="eastAsia" w:ascii="Times New Roman" w:hAnsi="Times New Roman" w:cs="Calibri"/>
          <w:kern w:val="2"/>
        </w:rPr>
        <w:t>日前通过淮北矿业电子招标采购平台提出。</w:t>
      </w:r>
    </w:p>
    <w:p w14:paraId="3E8D7161">
      <w:pPr>
        <w:autoSpaceDE w:val="0"/>
        <w:autoSpaceDN w:val="0"/>
        <w:adjustRightInd w:val="0"/>
        <w:spacing w:before="0" w:after="0" w:line="560" w:lineRule="exact"/>
        <w:ind w:firstLine="480" w:firstLineChars="200"/>
        <w:rPr>
          <w:sz w:val="24"/>
        </w:rPr>
      </w:pPr>
      <w:r>
        <w:rPr>
          <w:rFonts w:hint="eastAsia"/>
          <w:sz w:val="24"/>
        </w:rPr>
        <w:t>（二）本项目的</w:t>
      </w:r>
      <w:r>
        <w:rPr>
          <w:rFonts w:hint="eastAsia"/>
          <w:sz w:val="24"/>
          <w:lang w:val="en-US"/>
        </w:rPr>
        <w:t>采购</w:t>
      </w:r>
      <w:r>
        <w:rPr>
          <w:rFonts w:hint="eastAsia"/>
          <w:sz w:val="24"/>
        </w:rPr>
        <w:t>文件及其他资料（含澄清、答疑等）通过淮北矿业电子招标采购平台发布，</w:t>
      </w:r>
      <w:r>
        <w:rPr>
          <w:rFonts w:hint="eastAsia"/>
          <w:sz w:val="24"/>
          <w:lang w:val="en-US"/>
        </w:rPr>
        <w:t>采购</w:t>
      </w:r>
      <w:r>
        <w:rPr>
          <w:rFonts w:hint="eastAsia"/>
          <w:sz w:val="24"/>
        </w:rPr>
        <w:t>人不再另行通知，</w:t>
      </w:r>
      <w:r>
        <w:rPr>
          <w:rFonts w:hint="eastAsia"/>
          <w:sz w:val="24"/>
          <w:lang w:val="en-US"/>
        </w:rPr>
        <w:t>响应</w:t>
      </w:r>
      <w:r>
        <w:rPr>
          <w:rFonts w:hint="eastAsia"/>
          <w:sz w:val="24"/>
        </w:rPr>
        <w:t>人自行关注、查询并下载。因未及时查看导致不利后果的，责任自负。</w:t>
      </w:r>
    </w:p>
    <w:p w14:paraId="0BC0A519">
      <w:pPr>
        <w:autoSpaceDE w:val="0"/>
        <w:autoSpaceDN w:val="0"/>
        <w:adjustRightInd w:val="0"/>
        <w:spacing w:before="0" w:after="0" w:line="560" w:lineRule="exact"/>
        <w:ind w:firstLine="480" w:firstLineChars="200"/>
        <w:rPr>
          <w:sz w:val="24"/>
        </w:rPr>
      </w:pPr>
      <w:r>
        <w:rPr>
          <w:rFonts w:hint="eastAsia"/>
          <w:sz w:val="24"/>
          <w:lang w:val="en-US"/>
        </w:rPr>
        <w:t>采购</w:t>
      </w:r>
      <w:r>
        <w:rPr>
          <w:rFonts w:hint="eastAsia"/>
          <w:sz w:val="24"/>
        </w:rPr>
        <w:t>文件澄清发出的时间距</w:t>
      </w:r>
      <w:r>
        <w:rPr>
          <w:rFonts w:hint="eastAsia"/>
          <w:sz w:val="24"/>
          <w:lang w:val="en-US"/>
        </w:rPr>
        <w:t>响应</w:t>
      </w:r>
      <w:r>
        <w:rPr>
          <w:rFonts w:hint="eastAsia"/>
          <w:sz w:val="24"/>
        </w:rPr>
        <w:t>截止时间不足</w:t>
      </w:r>
      <w:r>
        <w:rPr>
          <w:rFonts w:hint="eastAsia"/>
          <w:sz w:val="24"/>
          <w:lang w:val="en-US"/>
        </w:rPr>
        <w:t>3个工作</w:t>
      </w:r>
      <w:r>
        <w:rPr>
          <w:rFonts w:hint="eastAsia"/>
          <w:sz w:val="24"/>
        </w:rPr>
        <w:t>日，且澄清内容可能影响</w:t>
      </w:r>
      <w:r>
        <w:rPr>
          <w:rFonts w:hint="eastAsia"/>
          <w:sz w:val="24"/>
          <w:lang w:val="en-US"/>
        </w:rPr>
        <w:t>响应</w:t>
      </w:r>
      <w:r>
        <w:rPr>
          <w:rFonts w:hint="eastAsia"/>
          <w:sz w:val="24"/>
        </w:rPr>
        <w:t>文件编制的，将相应延长投标截止时间。</w:t>
      </w:r>
    </w:p>
    <w:p w14:paraId="75E50DB7">
      <w:pPr>
        <w:autoSpaceDE w:val="0"/>
        <w:autoSpaceDN w:val="0"/>
        <w:adjustRightInd w:val="0"/>
        <w:spacing w:before="0" w:after="0" w:line="560" w:lineRule="exact"/>
        <w:ind w:firstLine="480" w:firstLineChars="200"/>
        <w:rPr>
          <w:sz w:val="24"/>
        </w:rPr>
      </w:pPr>
      <w:r>
        <w:rPr>
          <w:rFonts w:hint="eastAsia"/>
          <w:sz w:val="24"/>
        </w:rPr>
        <w:t>（三）除非</w:t>
      </w:r>
      <w:r>
        <w:rPr>
          <w:rFonts w:hint="eastAsia"/>
          <w:sz w:val="24"/>
          <w:lang w:val="en-US"/>
        </w:rPr>
        <w:t>采购</w:t>
      </w:r>
      <w:r>
        <w:rPr>
          <w:rFonts w:hint="eastAsia"/>
          <w:sz w:val="24"/>
        </w:rPr>
        <w:t>人认为确有必要答复，否则，</w:t>
      </w:r>
      <w:r>
        <w:rPr>
          <w:rFonts w:hint="eastAsia"/>
          <w:sz w:val="24"/>
          <w:lang w:val="en-US"/>
        </w:rPr>
        <w:t>采购</w:t>
      </w:r>
      <w:r>
        <w:rPr>
          <w:rFonts w:hint="eastAsia"/>
          <w:sz w:val="24"/>
        </w:rPr>
        <w:t>人有权拒绝回复</w:t>
      </w:r>
      <w:r>
        <w:rPr>
          <w:rFonts w:hint="eastAsia"/>
          <w:sz w:val="24"/>
          <w:lang w:val="en-US"/>
        </w:rPr>
        <w:t>响应</w:t>
      </w:r>
      <w:r>
        <w:rPr>
          <w:rFonts w:hint="eastAsia"/>
          <w:sz w:val="24"/>
        </w:rPr>
        <w:t>人在</w:t>
      </w:r>
      <w:r>
        <w:rPr>
          <w:rFonts w:hint="eastAsia"/>
          <w:sz w:val="24"/>
          <w:lang w:val="en-US"/>
        </w:rPr>
        <w:t>采购</w:t>
      </w:r>
      <w:r>
        <w:rPr>
          <w:rFonts w:hint="eastAsia"/>
          <w:sz w:val="24"/>
        </w:rPr>
        <w:t>文件规定的时间后提出的任何澄清要求。</w:t>
      </w:r>
    </w:p>
    <w:p w14:paraId="0DA1FFF7">
      <w:pPr>
        <w:spacing w:before="0" w:after="0" w:line="560" w:lineRule="exact"/>
        <w:rPr>
          <w:rFonts w:hint="eastAsia" w:ascii="宋体" w:hAnsi="宋体" w:eastAsia="黑体" w:cs="宋体"/>
          <w:sz w:val="28"/>
          <w:szCs w:val="28"/>
          <w:lang w:val="en-US"/>
        </w:rPr>
      </w:pPr>
      <w:bookmarkStart w:id="91" w:name="_Toc862"/>
      <w:bookmarkStart w:id="92" w:name="_Toc18586"/>
      <w:bookmarkStart w:id="93" w:name="_Toc23161"/>
      <w:bookmarkStart w:id="94" w:name="_Toc13653"/>
      <w:bookmarkStart w:id="95" w:name="_Toc13396"/>
      <w:r>
        <w:rPr>
          <w:rFonts w:hint="eastAsia" w:ascii="宋体" w:hAnsi="宋体" w:eastAsia="黑体" w:cs="宋体"/>
          <w:sz w:val="28"/>
          <w:szCs w:val="28"/>
          <w:lang w:val="en-US"/>
        </w:rPr>
        <w:t>2.采购文件的修改</w:t>
      </w:r>
      <w:bookmarkEnd w:id="91"/>
      <w:bookmarkEnd w:id="92"/>
      <w:bookmarkEnd w:id="93"/>
      <w:bookmarkEnd w:id="94"/>
      <w:bookmarkEnd w:id="95"/>
    </w:p>
    <w:p w14:paraId="27363A31">
      <w:pPr>
        <w:autoSpaceDE w:val="0"/>
        <w:autoSpaceDN w:val="0"/>
        <w:adjustRightInd w:val="0"/>
        <w:spacing w:before="0" w:after="0" w:line="560" w:lineRule="exact"/>
        <w:ind w:firstLine="480" w:firstLineChars="200"/>
        <w:rPr>
          <w:sz w:val="24"/>
        </w:rPr>
      </w:pPr>
      <w:r>
        <w:rPr>
          <w:rFonts w:hint="eastAsia"/>
          <w:sz w:val="24"/>
          <w:lang w:val="en-US"/>
        </w:rPr>
        <w:t>采购</w:t>
      </w:r>
      <w:r>
        <w:rPr>
          <w:rFonts w:hint="eastAsia"/>
          <w:sz w:val="24"/>
        </w:rPr>
        <w:t>人对</w:t>
      </w:r>
      <w:r>
        <w:rPr>
          <w:rFonts w:hint="eastAsia"/>
          <w:sz w:val="24"/>
          <w:lang w:val="en-US"/>
        </w:rPr>
        <w:t>采购</w:t>
      </w:r>
      <w:r>
        <w:rPr>
          <w:rFonts w:hint="eastAsia"/>
          <w:sz w:val="24"/>
        </w:rPr>
        <w:t>文件的修改通过淮北矿业电子招标采购平台发布，并通知所有已购买</w:t>
      </w:r>
      <w:r>
        <w:rPr>
          <w:rFonts w:hint="eastAsia"/>
          <w:sz w:val="24"/>
          <w:lang w:val="en-US"/>
        </w:rPr>
        <w:t>采购</w:t>
      </w:r>
      <w:r>
        <w:rPr>
          <w:rFonts w:hint="eastAsia"/>
          <w:sz w:val="24"/>
        </w:rPr>
        <w:t>文件的</w:t>
      </w:r>
      <w:r>
        <w:rPr>
          <w:rFonts w:hint="eastAsia"/>
          <w:sz w:val="24"/>
          <w:lang w:val="en-US"/>
        </w:rPr>
        <w:t>潜在响应</w:t>
      </w:r>
      <w:r>
        <w:rPr>
          <w:rFonts w:hint="eastAsia"/>
          <w:sz w:val="24"/>
        </w:rPr>
        <w:t>人。如果修改</w:t>
      </w:r>
      <w:r>
        <w:rPr>
          <w:rFonts w:hint="eastAsia"/>
          <w:sz w:val="24"/>
          <w:lang w:val="en-US"/>
        </w:rPr>
        <w:t>采购</w:t>
      </w:r>
      <w:r>
        <w:rPr>
          <w:rFonts w:hint="eastAsia"/>
          <w:sz w:val="24"/>
        </w:rPr>
        <w:t>文件的时间距</w:t>
      </w:r>
      <w:r>
        <w:rPr>
          <w:rFonts w:hint="eastAsia"/>
          <w:sz w:val="24"/>
          <w:lang w:val="en-US"/>
        </w:rPr>
        <w:t>响应</w:t>
      </w:r>
      <w:r>
        <w:rPr>
          <w:rFonts w:hint="eastAsia"/>
          <w:sz w:val="24"/>
        </w:rPr>
        <w:t>截止时间不足</w:t>
      </w:r>
      <w:r>
        <w:rPr>
          <w:rFonts w:hint="eastAsia"/>
          <w:sz w:val="24"/>
          <w:lang w:val="en-US"/>
        </w:rPr>
        <w:t>3个工作</w:t>
      </w:r>
      <w:r>
        <w:rPr>
          <w:rFonts w:hint="eastAsia"/>
          <w:sz w:val="24"/>
        </w:rPr>
        <w:t>日，且修改内容可能影响</w:t>
      </w:r>
      <w:r>
        <w:rPr>
          <w:rFonts w:hint="eastAsia"/>
          <w:sz w:val="24"/>
          <w:lang w:val="en-US"/>
        </w:rPr>
        <w:t>响应</w:t>
      </w:r>
      <w:r>
        <w:rPr>
          <w:rFonts w:hint="eastAsia"/>
          <w:sz w:val="24"/>
        </w:rPr>
        <w:t>文件编制的，将相应延长</w:t>
      </w:r>
      <w:r>
        <w:rPr>
          <w:rFonts w:hint="eastAsia"/>
          <w:sz w:val="24"/>
          <w:lang w:val="en-US"/>
        </w:rPr>
        <w:t>响应</w:t>
      </w:r>
      <w:r>
        <w:rPr>
          <w:rFonts w:hint="eastAsia"/>
          <w:sz w:val="24"/>
        </w:rPr>
        <w:t>截止时间。</w:t>
      </w:r>
    </w:p>
    <w:p w14:paraId="7135CF53">
      <w:pPr>
        <w:spacing w:before="0" w:after="0" w:line="560" w:lineRule="exact"/>
        <w:rPr>
          <w:rFonts w:hint="eastAsia" w:ascii="宋体" w:hAnsi="宋体" w:eastAsia="黑体" w:cs="宋体"/>
          <w:sz w:val="28"/>
          <w:szCs w:val="28"/>
          <w:lang w:val="en-US"/>
        </w:rPr>
      </w:pPr>
      <w:bookmarkStart w:id="96" w:name="_Toc1095"/>
      <w:bookmarkStart w:id="97" w:name="_Toc4119"/>
      <w:bookmarkStart w:id="98" w:name="_Toc16327"/>
      <w:bookmarkStart w:id="99" w:name="_Toc7005"/>
      <w:bookmarkStart w:id="100" w:name="_Toc5752"/>
      <w:r>
        <w:rPr>
          <w:rFonts w:hint="eastAsia" w:ascii="宋体" w:hAnsi="宋体" w:eastAsia="黑体" w:cs="宋体"/>
          <w:sz w:val="28"/>
          <w:szCs w:val="28"/>
          <w:lang w:val="en-US"/>
        </w:rPr>
        <w:t>3.响应文件的递交</w:t>
      </w:r>
      <w:bookmarkEnd w:id="96"/>
      <w:r>
        <w:rPr>
          <w:rFonts w:hint="eastAsia" w:ascii="宋体" w:hAnsi="宋体" w:eastAsia="黑体" w:cs="宋体"/>
          <w:sz w:val="28"/>
          <w:szCs w:val="28"/>
          <w:lang w:val="en-US"/>
        </w:rPr>
        <w:t>、修改与撤回</w:t>
      </w:r>
      <w:bookmarkEnd w:id="97"/>
      <w:bookmarkEnd w:id="98"/>
      <w:bookmarkEnd w:id="99"/>
      <w:bookmarkEnd w:id="100"/>
    </w:p>
    <w:p w14:paraId="1D039852">
      <w:pPr>
        <w:autoSpaceDE w:val="0"/>
        <w:autoSpaceDN w:val="0"/>
        <w:adjustRightInd w:val="0"/>
        <w:spacing w:before="0" w:after="0" w:line="560" w:lineRule="exact"/>
        <w:ind w:firstLine="480" w:firstLineChars="200"/>
        <w:rPr>
          <w:sz w:val="24"/>
        </w:rPr>
      </w:pPr>
      <w:r>
        <w:rPr>
          <w:rFonts w:hint="eastAsia"/>
          <w:sz w:val="24"/>
        </w:rPr>
        <w:t>（一）本次</w:t>
      </w:r>
      <w:r>
        <w:rPr>
          <w:rFonts w:hint="eastAsia"/>
          <w:sz w:val="24"/>
          <w:lang w:val="en-US"/>
        </w:rPr>
        <w:t>采购</w:t>
      </w:r>
      <w:r>
        <w:rPr>
          <w:rFonts w:hint="eastAsia"/>
          <w:sz w:val="24"/>
        </w:rPr>
        <w:t>采用线上递交</w:t>
      </w:r>
      <w:r>
        <w:rPr>
          <w:rFonts w:hint="eastAsia"/>
          <w:sz w:val="24"/>
          <w:lang w:val="en-US"/>
        </w:rPr>
        <w:t>响应</w:t>
      </w:r>
      <w:r>
        <w:rPr>
          <w:rFonts w:hint="eastAsia"/>
          <w:sz w:val="24"/>
        </w:rPr>
        <w:t>文件方式，</w:t>
      </w:r>
      <w:r>
        <w:rPr>
          <w:rFonts w:hint="eastAsia"/>
          <w:sz w:val="24"/>
          <w:lang w:val="en-US"/>
        </w:rPr>
        <w:t>响应</w:t>
      </w:r>
      <w:r>
        <w:rPr>
          <w:rFonts w:hint="eastAsia"/>
          <w:sz w:val="24"/>
        </w:rPr>
        <w:t>人在</w:t>
      </w:r>
      <w:r>
        <w:rPr>
          <w:rFonts w:hint="eastAsia"/>
          <w:sz w:val="24"/>
          <w:lang w:val="en-US"/>
        </w:rPr>
        <w:t>响应</w:t>
      </w:r>
      <w:r>
        <w:rPr>
          <w:rFonts w:hint="eastAsia"/>
          <w:sz w:val="24"/>
        </w:rPr>
        <w:t>截止时间前须将线下制作好的</w:t>
      </w:r>
      <w:r>
        <w:rPr>
          <w:rFonts w:hint="eastAsia"/>
          <w:sz w:val="24"/>
          <w:lang w:val="en-US"/>
        </w:rPr>
        <w:t>响应</w:t>
      </w:r>
      <w:r>
        <w:rPr>
          <w:rFonts w:hint="eastAsia"/>
          <w:sz w:val="24"/>
        </w:rPr>
        <w:t>文件（</w:t>
      </w:r>
      <w:r>
        <w:rPr>
          <w:sz w:val="24"/>
        </w:rPr>
        <w:t>PDF</w:t>
      </w:r>
      <w:r>
        <w:rPr>
          <w:rFonts w:hint="eastAsia"/>
          <w:sz w:val="24"/>
        </w:rPr>
        <w:t>格式）通过工具端使用CA签章加密上传至淮北矿业电子招标采购平台（如</w:t>
      </w:r>
      <w:r>
        <w:rPr>
          <w:rFonts w:hint="eastAsia"/>
          <w:sz w:val="24"/>
          <w:lang w:val="en-US"/>
        </w:rPr>
        <w:t>响应</w:t>
      </w:r>
      <w:r>
        <w:rPr>
          <w:rFonts w:hint="eastAsia"/>
          <w:sz w:val="24"/>
        </w:rPr>
        <w:t>人在制作、上传电子</w:t>
      </w:r>
      <w:r>
        <w:rPr>
          <w:rFonts w:hint="eastAsia"/>
          <w:sz w:val="24"/>
          <w:lang w:val="en-US"/>
        </w:rPr>
        <w:t>响应</w:t>
      </w:r>
      <w:r>
        <w:rPr>
          <w:rFonts w:hint="eastAsia"/>
          <w:sz w:val="24"/>
        </w:rPr>
        <w:t>文件过程中，遇到操作和使用问题，请及时联系淮北矿业电子招标采购平台客服人员，客服电话：400-0099-555）。</w:t>
      </w:r>
    </w:p>
    <w:p w14:paraId="3A941928">
      <w:pPr>
        <w:autoSpaceDE w:val="0"/>
        <w:autoSpaceDN w:val="0"/>
        <w:adjustRightInd w:val="0"/>
        <w:spacing w:before="0" w:after="0" w:line="560" w:lineRule="exact"/>
        <w:ind w:firstLine="480" w:firstLineChars="200"/>
        <w:rPr>
          <w:sz w:val="24"/>
        </w:rPr>
      </w:pPr>
      <w:r>
        <w:rPr>
          <w:rFonts w:hint="eastAsia"/>
          <w:sz w:val="24"/>
        </w:rPr>
        <w:t>（二）在</w:t>
      </w:r>
      <w:r>
        <w:rPr>
          <w:rFonts w:hint="eastAsia"/>
          <w:sz w:val="24"/>
          <w:lang w:val="en-US"/>
        </w:rPr>
        <w:t>采购</w:t>
      </w:r>
      <w:r>
        <w:rPr>
          <w:rFonts w:hint="eastAsia"/>
          <w:sz w:val="24"/>
        </w:rPr>
        <w:t>文件规定的</w:t>
      </w:r>
      <w:r>
        <w:rPr>
          <w:rFonts w:hint="eastAsia"/>
          <w:sz w:val="24"/>
          <w:lang w:val="en-US"/>
        </w:rPr>
        <w:t>响应</w:t>
      </w:r>
      <w:r>
        <w:rPr>
          <w:rFonts w:hint="eastAsia"/>
          <w:sz w:val="24"/>
        </w:rPr>
        <w:t>截止时间前（以淮北矿业电子招标采购平台系统的时间为准），</w:t>
      </w:r>
      <w:r>
        <w:rPr>
          <w:rFonts w:hint="eastAsia"/>
          <w:sz w:val="24"/>
          <w:lang w:val="en-US"/>
        </w:rPr>
        <w:t>响应</w:t>
      </w:r>
      <w:r>
        <w:rPr>
          <w:rFonts w:hint="eastAsia"/>
          <w:sz w:val="24"/>
        </w:rPr>
        <w:t>人可以补充、修改或撤回已递交的</w:t>
      </w:r>
      <w:r>
        <w:rPr>
          <w:rFonts w:hint="eastAsia"/>
          <w:sz w:val="24"/>
          <w:lang w:val="en-US"/>
        </w:rPr>
        <w:t>响应</w:t>
      </w:r>
      <w:r>
        <w:rPr>
          <w:rFonts w:hint="eastAsia"/>
          <w:sz w:val="24"/>
        </w:rPr>
        <w:t>文件（具体操作详见淮北矿业电子招标采购平台教程）。</w:t>
      </w:r>
      <w:r>
        <w:rPr>
          <w:rFonts w:hint="eastAsia"/>
          <w:sz w:val="24"/>
          <w:lang w:val="en-US"/>
        </w:rPr>
        <w:t>响应</w:t>
      </w:r>
      <w:r>
        <w:rPr>
          <w:rFonts w:hint="eastAsia"/>
          <w:sz w:val="24"/>
        </w:rPr>
        <w:t>人应在投标截止时间前完成</w:t>
      </w:r>
      <w:r>
        <w:rPr>
          <w:rFonts w:hint="eastAsia"/>
          <w:sz w:val="24"/>
          <w:lang w:val="en-US"/>
        </w:rPr>
        <w:t>响应</w:t>
      </w:r>
      <w:r>
        <w:rPr>
          <w:rFonts w:hint="eastAsia"/>
          <w:sz w:val="24"/>
        </w:rPr>
        <w:t>文件传输，否则，视为撤回</w:t>
      </w:r>
      <w:r>
        <w:rPr>
          <w:rFonts w:hint="eastAsia"/>
          <w:sz w:val="24"/>
          <w:lang w:val="en-US"/>
        </w:rPr>
        <w:t>响应</w:t>
      </w:r>
      <w:r>
        <w:rPr>
          <w:rFonts w:hint="eastAsia"/>
          <w:sz w:val="24"/>
        </w:rPr>
        <w:t>文件。</w:t>
      </w:r>
    </w:p>
    <w:p w14:paraId="25F2EC1F">
      <w:pPr>
        <w:autoSpaceDE w:val="0"/>
        <w:autoSpaceDN w:val="0"/>
        <w:adjustRightInd w:val="0"/>
        <w:spacing w:before="0" w:after="0" w:line="560" w:lineRule="exact"/>
        <w:ind w:firstLine="480" w:firstLineChars="200"/>
        <w:rPr>
          <w:sz w:val="24"/>
        </w:rPr>
      </w:pPr>
      <w:r>
        <w:rPr>
          <w:rFonts w:hint="eastAsia"/>
          <w:sz w:val="24"/>
        </w:rPr>
        <w:t>（三）</w:t>
      </w:r>
      <w:r>
        <w:rPr>
          <w:rFonts w:hint="eastAsia"/>
          <w:sz w:val="24"/>
          <w:lang w:val="en-US"/>
        </w:rPr>
        <w:t>响应</w:t>
      </w:r>
      <w:r>
        <w:rPr>
          <w:rFonts w:hint="eastAsia"/>
          <w:sz w:val="24"/>
        </w:rPr>
        <w:t>人参与多标段投标的，应按标段分别编制、加密、递交</w:t>
      </w:r>
      <w:r>
        <w:rPr>
          <w:rFonts w:hint="eastAsia"/>
          <w:sz w:val="24"/>
          <w:lang w:val="en-US"/>
        </w:rPr>
        <w:t>响应</w:t>
      </w:r>
      <w:r>
        <w:rPr>
          <w:rFonts w:hint="eastAsia"/>
          <w:sz w:val="24"/>
        </w:rPr>
        <w:t>文件。</w:t>
      </w:r>
    </w:p>
    <w:p w14:paraId="331A1089">
      <w:pPr>
        <w:autoSpaceDE w:val="0"/>
        <w:autoSpaceDN w:val="0"/>
        <w:adjustRightInd w:val="0"/>
        <w:spacing w:before="0" w:after="0" w:line="560" w:lineRule="exact"/>
        <w:ind w:firstLine="480" w:firstLineChars="200"/>
        <w:rPr>
          <w:sz w:val="24"/>
          <w:lang w:val="en-US"/>
        </w:rPr>
      </w:pPr>
      <w:r>
        <w:rPr>
          <w:rFonts w:hint="eastAsia"/>
          <w:sz w:val="24"/>
          <w:lang w:val="en-US"/>
        </w:rPr>
        <w:t>4.开启</w:t>
      </w:r>
    </w:p>
    <w:p w14:paraId="1AB81465">
      <w:pPr>
        <w:autoSpaceDE w:val="0"/>
        <w:autoSpaceDN w:val="0"/>
        <w:adjustRightInd w:val="0"/>
        <w:spacing w:line="560" w:lineRule="exact"/>
        <w:ind w:firstLine="480" w:firstLineChars="200"/>
        <w:rPr>
          <w:rFonts w:ascii="Calibri" w:hAnsi="Calibri" w:cs="Calibri"/>
          <w:sz w:val="24"/>
        </w:rPr>
      </w:pPr>
      <w:r>
        <w:rPr>
          <w:rFonts w:hint="eastAsia" w:cs="Calibri"/>
          <w:sz w:val="24"/>
        </w:rPr>
        <w:t>（一）</w:t>
      </w:r>
      <w:r>
        <w:rPr>
          <w:rFonts w:hint="eastAsia" w:cs="Calibri"/>
          <w:sz w:val="24"/>
          <w:lang w:val="en-US"/>
        </w:rPr>
        <w:t>开启</w:t>
      </w:r>
      <w:r>
        <w:rPr>
          <w:rFonts w:hint="eastAsia" w:cs="Calibri"/>
          <w:sz w:val="24"/>
        </w:rPr>
        <w:t>时间和地点</w:t>
      </w:r>
    </w:p>
    <w:p w14:paraId="4A244FBA">
      <w:pPr>
        <w:autoSpaceDE w:val="0"/>
        <w:autoSpaceDN w:val="0"/>
        <w:adjustRightInd w:val="0"/>
        <w:spacing w:before="0" w:after="0" w:line="560" w:lineRule="exact"/>
        <w:ind w:firstLine="480" w:firstLineChars="200"/>
        <w:rPr>
          <w:sz w:val="24"/>
        </w:rPr>
      </w:pPr>
      <w:r>
        <w:rPr>
          <w:rFonts w:hint="eastAsia"/>
          <w:sz w:val="24"/>
          <w:lang w:val="en-US"/>
        </w:rPr>
        <w:t>采购</w:t>
      </w:r>
      <w:r>
        <w:rPr>
          <w:rFonts w:hint="eastAsia"/>
          <w:sz w:val="24"/>
        </w:rPr>
        <w:t>人在</w:t>
      </w:r>
      <w:r>
        <w:rPr>
          <w:rFonts w:hint="eastAsia"/>
          <w:sz w:val="24"/>
          <w:lang w:val="en-US"/>
        </w:rPr>
        <w:t>采购</w:t>
      </w:r>
      <w:r>
        <w:rPr>
          <w:rFonts w:hint="eastAsia"/>
          <w:sz w:val="24"/>
        </w:rPr>
        <w:t>文件</w:t>
      </w:r>
      <w:r>
        <w:rPr>
          <w:sz w:val="24"/>
        </w:rPr>
        <w:t>规定的</w:t>
      </w:r>
      <w:r>
        <w:rPr>
          <w:rFonts w:hint="eastAsia"/>
          <w:sz w:val="24"/>
          <w:lang w:val="en-US"/>
        </w:rPr>
        <w:t>开启</w:t>
      </w:r>
      <w:r>
        <w:rPr>
          <w:rFonts w:hint="eastAsia"/>
          <w:sz w:val="24"/>
        </w:rPr>
        <w:t>截止时间和地点进行公开</w:t>
      </w:r>
      <w:r>
        <w:rPr>
          <w:sz w:val="24"/>
        </w:rPr>
        <w:t>开标，如有变动在</w:t>
      </w:r>
      <w:r>
        <w:rPr>
          <w:rFonts w:hint="eastAsia"/>
          <w:sz w:val="24"/>
        </w:rPr>
        <w:t>淮北矿业电子招标采购</w:t>
      </w:r>
      <w:r>
        <w:rPr>
          <w:sz w:val="24"/>
        </w:rPr>
        <w:t>平台发布，</w:t>
      </w:r>
      <w:r>
        <w:rPr>
          <w:rFonts w:hint="eastAsia"/>
          <w:sz w:val="24"/>
        </w:rPr>
        <w:t>投标人</w:t>
      </w:r>
      <w:r>
        <w:rPr>
          <w:sz w:val="24"/>
        </w:rPr>
        <w:t>自行关注。</w:t>
      </w:r>
    </w:p>
    <w:p w14:paraId="5D310C88">
      <w:pPr>
        <w:autoSpaceDE w:val="0"/>
        <w:autoSpaceDN w:val="0"/>
        <w:adjustRightInd w:val="0"/>
        <w:spacing w:before="0" w:after="0" w:line="560" w:lineRule="exact"/>
        <w:ind w:firstLine="480" w:firstLineChars="200"/>
        <w:rPr>
          <w:sz w:val="24"/>
        </w:rPr>
      </w:pPr>
      <w:r>
        <w:rPr>
          <w:rFonts w:hint="eastAsia"/>
          <w:sz w:val="24"/>
        </w:rPr>
        <w:t>（二）</w:t>
      </w:r>
      <w:r>
        <w:rPr>
          <w:rFonts w:hint="eastAsia"/>
          <w:sz w:val="24"/>
          <w:lang w:val="en-US"/>
        </w:rPr>
        <w:t>开启</w:t>
      </w:r>
      <w:r>
        <w:rPr>
          <w:sz w:val="24"/>
        </w:rPr>
        <w:t>方式</w:t>
      </w:r>
    </w:p>
    <w:p w14:paraId="3768CE32">
      <w:pPr>
        <w:autoSpaceDE w:val="0"/>
        <w:autoSpaceDN w:val="0"/>
        <w:adjustRightInd w:val="0"/>
        <w:spacing w:before="0" w:after="0" w:line="560" w:lineRule="exact"/>
        <w:ind w:firstLine="480" w:firstLineChars="200"/>
        <w:rPr>
          <w:sz w:val="24"/>
        </w:rPr>
      </w:pPr>
      <w:r>
        <w:rPr>
          <w:sz w:val="24"/>
        </w:rPr>
        <w:t>本次</w:t>
      </w:r>
      <w:r>
        <w:rPr>
          <w:rFonts w:hint="eastAsia"/>
          <w:sz w:val="24"/>
          <w:lang w:val="en-US"/>
        </w:rPr>
        <w:t>采购</w:t>
      </w:r>
      <w:r>
        <w:rPr>
          <w:sz w:val="24"/>
        </w:rPr>
        <w:t>采用</w:t>
      </w:r>
      <w:r>
        <w:rPr>
          <w:rFonts w:hint="eastAsia"/>
          <w:sz w:val="24"/>
        </w:rPr>
        <w:t>淮北矿业电子招标采购平台</w:t>
      </w:r>
      <w:r>
        <w:rPr>
          <w:sz w:val="24"/>
        </w:rPr>
        <w:t>线上</w:t>
      </w:r>
      <w:r>
        <w:rPr>
          <w:rFonts w:hint="eastAsia"/>
          <w:sz w:val="24"/>
          <w:lang w:val="en-US"/>
        </w:rPr>
        <w:t>开启</w:t>
      </w:r>
      <w:r>
        <w:rPr>
          <w:sz w:val="24"/>
        </w:rPr>
        <w:t>，</w:t>
      </w:r>
      <w:r>
        <w:rPr>
          <w:rFonts w:hint="eastAsia"/>
          <w:sz w:val="24"/>
          <w:lang w:val="en-US"/>
        </w:rPr>
        <w:t>响应</w:t>
      </w:r>
      <w:r>
        <w:rPr>
          <w:rFonts w:hint="eastAsia"/>
          <w:sz w:val="24"/>
        </w:rPr>
        <w:t>人</w:t>
      </w:r>
      <w:r>
        <w:rPr>
          <w:sz w:val="24"/>
        </w:rPr>
        <w:t>无需安排人员到</w:t>
      </w:r>
      <w:r>
        <w:rPr>
          <w:rFonts w:hint="eastAsia"/>
          <w:sz w:val="24"/>
        </w:rPr>
        <w:t>达</w:t>
      </w:r>
      <w:r>
        <w:rPr>
          <w:sz w:val="24"/>
        </w:rPr>
        <w:t>现场。</w:t>
      </w:r>
    </w:p>
    <w:p w14:paraId="63A982AE">
      <w:pPr>
        <w:autoSpaceDE w:val="0"/>
        <w:autoSpaceDN w:val="0"/>
        <w:adjustRightInd w:val="0"/>
        <w:spacing w:before="0" w:after="0" w:line="560" w:lineRule="exact"/>
        <w:ind w:firstLine="480" w:firstLineChars="200"/>
        <w:rPr>
          <w:sz w:val="24"/>
        </w:rPr>
      </w:pPr>
      <w:r>
        <w:rPr>
          <w:rFonts w:hint="eastAsia"/>
          <w:sz w:val="24"/>
        </w:rPr>
        <w:t>（三）</w:t>
      </w:r>
      <w:r>
        <w:rPr>
          <w:sz w:val="24"/>
        </w:rPr>
        <w:t>解密</w:t>
      </w:r>
      <w:r>
        <w:rPr>
          <w:rFonts w:hint="eastAsia"/>
          <w:sz w:val="24"/>
          <w:lang w:val="en-US"/>
        </w:rPr>
        <w:t>响应</w:t>
      </w:r>
      <w:r>
        <w:rPr>
          <w:sz w:val="24"/>
        </w:rPr>
        <w:t>文件</w:t>
      </w:r>
    </w:p>
    <w:p w14:paraId="15E0BAC7">
      <w:pPr>
        <w:autoSpaceDE w:val="0"/>
        <w:autoSpaceDN w:val="0"/>
        <w:adjustRightInd w:val="0"/>
        <w:spacing w:before="0" w:after="0" w:line="560" w:lineRule="exact"/>
        <w:ind w:firstLine="480" w:firstLineChars="200"/>
        <w:rPr>
          <w:sz w:val="24"/>
        </w:rPr>
      </w:pPr>
      <w:r>
        <w:rPr>
          <w:rFonts w:hint="eastAsia"/>
          <w:sz w:val="24"/>
        </w:rPr>
        <w:t>1.</w:t>
      </w:r>
      <w:r>
        <w:rPr>
          <w:rFonts w:hint="eastAsia"/>
          <w:sz w:val="24"/>
          <w:lang w:val="en-US"/>
        </w:rPr>
        <w:t>招采</w:t>
      </w:r>
      <w:r>
        <w:rPr>
          <w:sz w:val="24"/>
        </w:rPr>
        <w:t>人员（以下称工作人员）根据有关规定登录系统开标。</w:t>
      </w:r>
      <w:r>
        <w:rPr>
          <w:rFonts w:hint="eastAsia"/>
          <w:sz w:val="24"/>
          <w:lang w:val="en-US"/>
        </w:rPr>
        <w:t>响应</w:t>
      </w:r>
      <w:r>
        <w:rPr>
          <w:rFonts w:hint="eastAsia"/>
          <w:sz w:val="24"/>
        </w:rPr>
        <w:t>截止时间后由</w:t>
      </w:r>
      <w:r>
        <w:rPr>
          <w:rFonts w:hint="eastAsia"/>
          <w:sz w:val="24"/>
          <w:lang w:val="en-US"/>
        </w:rPr>
        <w:t>响应</w:t>
      </w:r>
      <w:r>
        <w:rPr>
          <w:rFonts w:hint="eastAsia"/>
          <w:sz w:val="24"/>
        </w:rPr>
        <w:t>人使用CA证书解密</w:t>
      </w:r>
      <w:r>
        <w:rPr>
          <w:rFonts w:hint="eastAsia"/>
          <w:sz w:val="24"/>
          <w:lang w:val="en-US"/>
        </w:rPr>
        <w:t>响应</w:t>
      </w:r>
      <w:r>
        <w:rPr>
          <w:rFonts w:hint="eastAsia"/>
          <w:sz w:val="24"/>
        </w:rPr>
        <w:t>文件，工作人员导入已解密的</w:t>
      </w:r>
      <w:r>
        <w:rPr>
          <w:rFonts w:hint="eastAsia"/>
          <w:sz w:val="24"/>
          <w:lang w:val="en-US"/>
        </w:rPr>
        <w:t>响应</w:t>
      </w:r>
      <w:r>
        <w:rPr>
          <w:rFonts w:hint="eastAsia"/>
          <w:sz w:val="24"/>
        </w:rPr>
        <w:t>文件并公布</w:t>
      </w:r>
      <w:r>
        <w:rPr>
          <w:rFonts w:hint="eastAsia"/>
          <w:sz w:val="24"/>
          <w:lang w:val="en-US"/>
        </w:rPr>
        <w:t>开启</w:t>
      </w:r>
      <w:r>
        <w:rPr>
          <w:rFonts w:hint="eastAsia"/>
          <w:sz w:val="24"/>
        </w:rPr>
        <w:t>结果。</w:t>
      </w:r>
    </w:p>
    <w:p w14:paraId="3084450C">
      <w:pPr>
        <w:autoSpaceDE w:val="0"/>
        <w:autoSpaceDN w:val="0"/>
        <w:adjustRightInd w:val="0"/>
        <w:spacing w:before="0" w:after="0" w:line="560" w:lineRule="exact"/>
        <w:ind w:firstLine="480" w:firstLineChars="200"/>
        <w:rPr>
          <w:sz w:val="24"/>
        </w:rPr>
      </w:pPr>
      <w:r>
        <w:rPr>
          <w:rFonts w:hint="eastAsia" w:ascii="Times New Roman" w:hAnsi="Times New Roman"/>
          <w:sz w:val="24"/>
        </w:rPr>
        <w:t>2</w:t>
      </w:r>
      <w:r>
        <w:rPr>
          <w:rFonts w:hint="eastAsia"/>
          <w:sz w:val="24"/>
        </w:rPr>
        <w:t>.</w:t>
      </w:r>
      <w:r>
        <w:rPr>
          <w:b/>
          <w:bCs/>
          <w:sz w:val="24"/>
        </w:rPr>
        <w:t>自</w:t>
      </w:r>
      <w:r>
        <w:rPr>
          <w:rFonts w:hint="eastAsia"/>
          <w:b/>
          <w:bCs/>
          <w:sz w:val="24"/>
          <w:lang w:val="en-US"/>
        </w:rPr>
        <w:t>响应</w:t>
      </w:r>
      <w:r>
        <w:rPr>
          <w:b/>
          <w:bCs/>
          <w:sz w:val="24"/>
        </w:rPr>
        <w:t>截止时间</w:t>
      </w:r>
      <w:r>
        <w:rPr>
          <w:rFonts w:hint="eastAsia" w:ascii="Calibri" w:hAnsi="Calibri" w:cs="Calibri"/>
          <w:b/>
          <w:bCs/>
          <w:sz w:val="24"/>
        </w:rPr>
        <w:t>（开标时间）</w:t>
      </w:r>
      <w:r>
        <w:rPr>
          <w:b/>
          <w:bCs/>
          <w:sz w:val="24"/>
        </w:rPr>
        <w:t>起</w:t>
      </w:r>
      <w:r>
        <w:rPr>
          <w:rFonts w:ascii="Times New Roman" w:hAnsi="Times New Roman"/>
          <w:b/>
          <w:bCs/>
          <w:sz w:val="24"/>
        </w:rPr>
        <w:t>30</w:t>
      </w:r>
      <w:r>
        <w:rPr>
          <w:b/>
          <w:bCs/>
          <w:sz w:val="24"/>
        </w:rPr>
        <w:t>分钟内</w:t>
      </w:r>
      <w:r>
        <w:rPr>
          <w:rFonts w:hint="eastAsia"/>
          <w:b/>
          <w:bCs/>
          <w:sz w:val="24"/>
        </w:rPr>
        <w:t>，</w:t>
      </w:r>
      <w:r>
        <w:rPr>
          <w:rFonts w:hint="eastAsia"/>
          <w:sz w:val="24"/>
          <w:lang w:val="en-US"/>
        </w:rPr>
        <w:t>响应</w:t>
      </w:r>
      <w:r>
        <w:rPr>
          <w:sz w:val="24"/>
        </w:rPr>
        <w:t>人仍未完成</w:t>
      </w:r>
      <w:r>
        <w:rPr>
          <w:rFonts w:hint="eastAsia"/>
          <w:sz w:val="24"/>
          <w:lang w:val="en-US"/>
        </w:rPr>
        <w:t>响应</w:t>
      </w:r>
      <w:r>
        <w:rPr>
          <w:sz w:val="24"/>
        </w:rPr>
        <w:t>文件解密的，视为其</w:t>
      </w:r>
      <w:r>
        <w:rPr>
          <w:rFonts w:hint="eastAsia"/>
          <w:sz w:val="24"/>
        </w:rPr>
        <w:t>放弃</w:t>
      </w:r>
      <w:r>
        <w:rPr>
          <w:rFonts w:hint="eastAsia"/>
          <w:sz w:val="24"/>
          <w:lang w:val="en-US"/>
        </w:rPr>
        <w:t>响应</w:t>
      </w:r>
      <w:r>
        <w:rPr>
          <w:sz w:val="24"/>
        </w:rPr>
        <w:t>。</w:t>
      </w:r>
    </w:p>
    <w:p w14:paraId="0A34ECB3">
      <w:pPr>
        <w:autoSpaceDE w:val="0"/>
        <w:autoSpaceDN w:val="0"/>
        <w:adjustRightInd w:val="0"/>
        <w:spacing w:before="0" w:after="0" w:line="560" w:lineRule="exact"/>
        <w:ind w:firstLine="480" w:firstLineChars="200"/>
        <w:rPr>
          <w:sz w:val="24"/>
        </w:rPr>
      </w:pPr>
      <w:r>
        <w:rPr>
          <w:rFonts w:hint="eastAsia"/>
          <w:sz w:val="24"/>
        </w:rPr>
        <w:t>3.</w:t>
      </w:r>
      <w:r>
        <w:rPr>
          <w:rFonts w:hint="eastAsia"/>
          <w:sz w:val="24"/>
          <w:lang w:val="en-US"/>
        </w:rPr>
        <w:t>响应</w:t>
      </w:r>
      <w:r>
        <w:rPr>
          <w:rFonts w:hint="eastAsia"/>
          <w:sz w:val="24"/>
        </w:rPr>
        <w:t>人须按照</w:t>
      </w:r>
      <w:r>
        <w:rPr>
          <w:rFonts w:hint="eastAsia"/>
          <w:sz w:val="24"/>
          <w:lang w:val="en-US"/>
        </w:rPr>
        <w:t>采购</w:t>
      </w:r>
      <w:r>
        <w:rPr>
          <w:rFonts w:hint="eastAsia"/>
          <w:sz w:val="24"/>
        </w:rPr>
        <w:t>文件的要求在</w:t>
      </w:r>
      <w:r>
        <w:rPr>
          <w:rFonts w:hint="eastAsia"/>
          <w:sz w:val="24"/>
          <w:lang w:val="en-US"/>
        </w:rPr>
        <w:t>响应</w:t>
      </w:r>
      <w:r>
        <w:rPr>
          <w:rFonts w:hint="eastAsia"/>
          <w:sz w:val="24"/>
        </w:rPr>
        <w:t>截止时间（开标时间）前登录</w:t>
      </w:r>
      <w:r>
        <w:rPr>
          <w:rFonts w:hint="eastAsia"/>
          <w:sz w:val="24"/>
          <w:lang w:val="en-US"/>
        </w:rPr>
        <w:t>响应</w:t>
      </w:r>
      <w:r>
        <w:rPr>
          <w:rFonts w:hint="eastAsia"/>
          <w:sz w:val="24"/>
        </w:rPr>
        <w:t>工具并保持在线，直到项目评审结束。</w:t>
      </w:r>
    </w:p>
    <w:p w14:paraId="28206E80">
      <w:pPr>
        <w:spacing w:before="0" w:after="0" w:line="560" w:lineRule="exact"/>
        <w:rPr>
          <w:rFonts w:hint="eastAsia" w:ascii="宋体" w:hAnsi="宋体" w:eastAsia="黑体" w:cs="宋体"/>
          <w:sz w:val="28"/>
          <w:szCs w:val="28"/>
          <w:lang w:val="en-US"/>
        </w:rPr>
      </w:pPr>
      <w:r>
        <w:rPr>
          <w:rFonts w:hint="eastAsia" w:ascii="宋体" w:hAnsi="宋体" w:eastAsia="黑体" w:cs="宋体"/>
          <w:sz w:val="28"/>
          <w:szCs w:val="28"/>
          <w:lang w:val="en-US"/>
        </w:rPr>
        <w:t>5.评审</w:t>
      </w:r>
    </w:p>
    <w:p w14:paraId="1CDA2EC2">
      <w:pPr>
        <w:autoSpaceDE w:val="0"/>
        <w:autoSpaceDN w:val="0"/>
        <w:adjustRightInd w:val="0"/>
        <w:spacing w:before="0" w:after="0" w:line="560" w:lineRule="exact"/>
        <w:ind w:firstLine="480" w:firstLineChars="200"/>
        <w:rPr>
          <w:sz w:val="24"/>
        </w:rPr>
      </w:pPr>
      <w:r>
        <w:rPr>
          <w:rFonts w:hint="eastAsia"/>
          <w:sz w:val="24"/>
        </w:rPr>
        <w:t>评</w:t>
      </w:r>
      <w:r>
        <w:rPr>
          <w:rFonts w:hint="eastAsia"/>
          <w:sz w:val="24"/>
          <w:lang w:val="en-US"/>
        </w:rPr>
        <w:t>审</w:t>
      </w:r>
      <w:r>
        <w:rPr>
          <w:rFonts w:hint="eastAsia"/>
          <w:sz w:val="24"/>
        </w:rPr>
        <w:t>委员会通过淮北矿业电子招标采购平台将需要澄清、说明或补正的内容以询标函的形式发送给</w:t>
      </w:r>
      <w:r>
        <w:rPr>
          <w:rFonts w:hint="eastAsia"/>
          <w:sz w:val="24"/>
          <w:lang w:val="en-US"/>
        </w:rPr>
        <w:t>响应</w:t>
      </w:r>
      <w:r>
        <w:rPr>
          <w:rFonts w:hint="eastAsia"/>
          <w:sz w:val="24"/>
        </w:rPr>
        <w:t>人，</w:t>
      </w:r>
      <w:r>
        <w:rPr>
          <w:rFonts w:hint="eastAsia"/>
          <w:sz w:val="24"/>
          <w:lang w:val="en-US"/>
        </w:rPr>
        <w:t>响应</w:t>
      </w:r>
      <w:r>
        <w:rPr>
          <w:rFonts w:hint="eastAsia"/>
          <w:sz w:val="24"/>
        </w:rPr>
        <w:t>人应在规定时间内进行回复。</w:t>
      </w:r>
    </w:p>
    <w:p w14:paraId="0413FAB7">
      <w:pPr>
        <w:autoSpaceDE w:val="0"/>
        <w:autoSpaceDN w:val="0"/>
        <w:adjustRightInd w:val="0"/>
        <w:spacing w:before="0" w:after="0" w:line="560" w:lineRule="exact"/>
        <w:ind w:firstLine="480" w:firstLineChars="200"/>
        <w:rPr>
          <w:sz w:val="24"/>
        </w:rPr>
      </w:pPr>
      <w:r>
        <w:rPr>
          <w:rFonts w:hint="eastAsia"/>
          <w:sz w:val="24"/>
        </w:rPr>
        <w:t>（六）</w:t>
      </w:r>
      <w:r>
        <w:rPr>
          <w:sz w:val="24"/>
        </w:rPr>
        <w:t>视</w:t>
      </w:r>
      <w:r>
        <w:rPr>
          <w:rFonts w:hint="eastAsia"/>
          <w:sz w:val="24"/>
        </w:rPr>
        <w:t>为</w:t>
      </w:r>
      <w:r>
        <w:rPr>
          <w:sz w:val="24"/>
        </w:rPr>
        <w:t>放弃澄清</w:t>
      </w:r>
      <w:r>
        <w:rPr>
          <w:rFonts w:hint="eastAsia"/>
          <w:sz w:val="24"/>
          <w:lang w:val="en-US"/>
        </w:rPr>
        <w:t>/放弃响应</w:t>
      </w:r>
      <w:r>
        <w:rPr>
          <w:rFonts w:hint="eastAsia"/>
          <w:sz w:val="24"/>
        </w:rPr>
        <w:t>的情形</w:t>
      </w:r>
    </w:p>
    <w:p w14:paraId="78F24C7C">
      <w:pPr>
        <w:autoSpaceDE w:val="0"/>
        <w:autoSpaceDN w:val="0"/>
        <w:adjustRightInd w:val="0"/>
        <w:spacing w:before="0" w:after="0" w:line="560" w:lineRule="exact"/>
        <w:ind w:firstLine="480" w:firstLineChars="200"/>
        <w:rPr>
          <w:sz w:val="24"/>
        </w:rPr>
      </w:pPr>
      <w:r>
        <w:rPr>
          <w:rFonts w:hint="eastAsia"/>
          <w:sz w:val="24"/>
        </w:rPr>
        <w:t>1.未在规定时间内回复的。</w:t>
      </w:r>
    </w:p>
    <w:p w14:paraId="3DB38A7C">
      <w:pPr>
        <w:autoSpaceDE w:val="0"/>
        <w:autoSpaceDN w:val="0"/>
        <w:adjustRightInd w:val="0"/>
        <w:spacing w:before="0" w:after="0" w:line="560" w:lineRule="exact"/>
        <w:ind w:firstLine="480" w:firstLineChars="200"/>
        <w:rPr>
          <w:sz w:val="24"/>
        </w:rPr>
      </w:pPr>
      <w:r>
        <w:rPr>
          <w:rFonts w:hint="eastAsia"/>
          <w:sz w:val="24"/>
        </w:rPr>
        <w:t>2.</w:t>
      </w:r>
      <w:r>
        <w:rPr>
          <w:sz w:val="24"/>
        </w:rPr>
        <w:t>澄清文件无法打开或不完整的</w:t>
      </w:r>
      <w:r>
        <w:rPr>
          <w:rFonts w:hint="eastAsia"/>
          <w:sz w:val="24"/>
        </w:rPr>
        <w:t>。</w:t>
      </w:r>
    </w:p>
    <w:p w14:paraId="08F1CF74">
      <w:pPr>
        <w:autoSpaceDE w:val="0"/>
        <w:autoSpaceDN w:val="0"/>
        <w:adjustRightInd w:val="0"/>
        <w:spacing w:before="0" w:after="0" w:line="560" w:lineRule="exact"/>
        <w:ind w:firstLine="480" w:firstLineChars="200"/>
        <w:rPr>
          <w:sz w:val="24"/>
        </w:rPr>
      </w:pPr>
      <w:r>
        <w:rPr>
          <w:rFonts w:hint="eastAsia"/>
          <w:sz w:val="24"/>
        </w:rPr>
        <w:t>3.</w:t>
      </w:r>
      <w:r>
        <w:rPr>
          <w:sz w:val="24"/>
        </w:rPr>
        <w:t>澄清文件中携带病毒并造成后果的</w:t>
      </w:r>
      <w:r>
        <w:rPr>
          <w:rFonts w:hint="eastAsia"/>
          <w:sz w:val="24"/>
        </w:rPr>
        <w:t>。</w:t>
      </w:r>
    </w:p>
    <w:p w14:paraId="0D0F4D10">
      <w:pPr>
        <w:autoSpaceDE w:val="0"/>
        <w:autoSpaceDN w:val="0"/>
        <w:adjustRightInd w:val="0"/>
        <w:spacing w:before="0" w:after="0" w:line="560" w:lineRule="exact"/>
        <w:ind w:firstLine="480" w:firstLineChars="200"/>
        <w:rPr>
          <w:sz w:val="24"/>
        </w:rPr>
      </w:pPr>
      <w:r>
        <w:rPr>
          <w:rFonts w:hint="eastAsia"/>
          <w:sz w:val="24"/>
        </w:rPr>
        <w:t>4.</w:t>
      </w:r>
      <w:r>
        <w:rPr>
          <w:sz w:val="24"/>
        </w:rPr>
        <w:t>恶意递交澄清文件，企图造成网络堵塞或瘫痪的</w:t>
      </w:r>
      <w:r>
        <w:rPr>
          <w:rFonts w:hint="eastAsia"/>
          <w:sz w:val="24"/>
        </w:rPr>
        <w:t>。</w:t>
      </w:r>
    </w:p>
    <w:p w14:paraId="0543FFDC">
      <w:pPr>
        <w:autoSpaceDE w:val="0"/>
        <w:autoSpaceDN w:val="0"/>
        <w:adjustRightInd w:val="0"/>
        <w:spacing w:before="0" w:after="0" w:line="560" w:lineRule="exact"/>
        <w:ind w:firstLine="480" w:firstLineChars="200"/>
        <w:rPr>
          <w:rFonts w:hint="eastAsia" w:eastAsiaTheme="minorEastAsia"/>
          <w:sz w:val="24"/>
          <w:lang w:val="en-US" w:eastAsia="zh-CN"/>
        </w:rPr>
      </w:pPr>
      <w:r>
        <w:rPr>
          <w:rFonts w:hint="eastAsia"/>
          <w:sz w:val="24"/>
        </w:rPr>
        <w:t>5.</w:t>
      </w:r>
      <w:r>
        <w:rPr>
          <w:sz w:val="24"/>
        </w:rPr>
        <w:t>评审委员会认定的其他不予评审情形的。</w:t>
      </w:r>
    </w:p>
    <w:p w14:paraId="1021DCEE">
      <w:pPr>
        <w:autoSpaceDE w:val="0"/>
        <w:autoSpaceDN w:val="0"/>
        <w:adjustRightInd w:val="0"/>
        <w:spacing w:before="0" w:after="0" w:line="560" w:lineRule="exact"/>
        <w:ind w:firstLine="480" w:firstLineChars="200"/>
        <w:rPr>
          <w:sz w:val="24"/>
        </w:rPr>
      </w:pPr>
      <w:r>
        <w:rPr>
          <w:rFonts w:hint="eastAsia"/>
          <w:sz w:val="24"/>
        </w:rPr>
        <w:t>11.</w:t>
      </w:r>
      <w:r>
        <w:rPr>
          <w:rFonts w:hint="eastAsia"/>
          <w:sz w:val="24"/>
          <w:lang w:val="en-US"/>
        </w:rPr>
        <w:t>响应</w:t>
      </w:r>
      <w:r>
        <w:rPr>
          <w:sz w:val="24"/>
        </w:rPr>
        <w:t>文件无法打开或不完整的；</w:t>
      </w:r>
      <w:r>
        <w:rPr>
          <w:rFonts w:hint="eastAsia"/>
          <w:sz w:val="24"/>
          <w:lang w:val="en-US"/>
        </w:rPr>
        <w:t>响应</w:t>
      </w:r>
      <w:r>
        <w:rPr>
          <w:sz w:val="24"/>
        </w:rPr>
        <w:t>文件中携带病毒并造成后果的；恶意递交</w:t>
      </w:r>
      <w:r>
        <w:rPr>
          <w:rFonts w:hint="eastAsia"/>
          <w:sz w:val="24"/>
          <w:lang w:val="en-US"/>
        </w:rPr>
        <w:t>响应</w:t>
      </w:r>
      <w:r>
        <w:rPr>
          <w:sz w:val="24"/>
        </w:rPr>
        <w:t>文件，企图造成网络堵塞或瘫痪的</w:t>
      </w:r>
      <w:r>
        <w:rPr>
          <w:rFonts w:hint="eastAsia"/>
          <w:sz w:val="24"/>
        </w:rPr>
        <w:t>。</w:t>
      </w:r>
    </w:p>
    <w:p w14:paraId="266CB6BF">
      <w:pPr>
        <w:spacing w:before="0" w:after="0" w:line="560" w:lineRule="exact"/>
        <w:rPr>
          <w:rFonts w:hint="eastAsia" w:ascii="宋体" w:hAnsi="宋体" w:eastAsia="黑体" w:cs="宋体"/>
          <w:sz w:val="28"/>
          <w:szCs w:val="28"/>
          <w:lang w:val="en-US"/>
        </w:rPr>
      </w:pPr>
      <w:bookmarkStart w:id="101" w:name="_Toc1983"/>
      <w:bookmarkStart w:id="102" w:name="_Toc27908"/>
      <w:bookmarkStart w:id="103" w:name="_Toc7545"/>
      <w:bookmarkStart w:id="104" w:name="_Toc24976"/>
      <w:r>
        <w:rPr>
          <w:rFonts w:hint="eastAsia" w:ascii="宋体" w:hAnsi="宋体" w:eastAsia="黑体" w:cs="宋体"/>
          <w:sz w:val="28"/>
          <w:szCs w:val="28"/>
          <w:lang w:val="en-US"/>
        </w:rPr>
        <w:t>6.其他注意事项</w:t>
      </w:r>
      <w:bookmarkEnd w:id="101"/>
      <w:bookmarkEnd w:id="102"/>
      <w:bookmarkEnd w:id="103"/>
      <w:bookmarkEnd w:id="104"/>
    </w:p>
    <w:p w14:paraId="00A18997">
      <w:pPr>
        <w:autoSpaceDE w:val="0"/>
        <w:autoSpaceDN w:val="0"/>
        <w:adjustRightInd w:val="0"/>
        <w:spacing w:before="0" w:after="0" w:line="560" w:lineRule="exact"/>
        <w:ind w:firstLine="480" w:firstLineChars="200"/>
        <w:rPr>
          <w:sz w:val="24"/>
        </w:rPr>
      </w:pPr>
      <w:r>
        <w:rPr>
          <w:rFonts w:hint="eastAsia"/>
          <w:sz w:val="24"/>
        </w:rPr>
        <w:t>（一）</w:t>
      </w:r>
      <w:r>
        <w:rPr>
          <w:sz w:val="24"/>
        </w:rPr>
        <w:t>数字证书</w:t>
      </w:r>
    </w:p>
    <w:p w14:paraId="6E8DB093">
      <w:pPr>
        <w:autoSpaceDE w:val="0"/>
        <w:autoSpaceDN w:val="0"/>
        <w:adjustRightInd w:val="0"/>
        <w:spacing w:before="0" w:after="0" w:line="560" w:lineRule="exact"/>
        <w:ind w:firstLine="480" w:firstLineChars="200"/>
        <w:rPr>
          <w:sz w:val="24"/>
        </w:rPr>
      </w:pPr>
      <w:r>
        <w:rPr>
          <w:rFonts w:hint="eastAsia"/>
          <w:sz w:val="24"/>
        </w:rPr>
        <w:t>1.</w:t>
      </w:r>
      <w:r>
        <w:rPr>
          <w:sz w:val="24"/>
        </w:rPr>
        <w:t>数字证书到期后须重新续期。</w:t>
      </w:r>
    </w:p>
    <w:p w14:paraId="7ADB0B24">
      <w:pPr>
        <w:autoSpaceDE w:val="0"/>
        <w:autoSpaceDN w:val="0"/>
        <w:adjustRightInd w:val="0"/>
        <w:spacing w:before="0" w:after="0" w:line="560" w:lineRule="exact"/>
        <w:ind w:firstLine="480" w:firstLineChars="200"/>
        <w:rPr>
          <w:sz w:val="24"/>
        </w:rPr>
      </w:pPr>
      <w:r>
        <w:rPr>
          <w:rFonts w:hint="eastAsia"/>
          <w:sz w:val="24"/>
        </w:rPr>
        <w:t>2.</w:t>
      </w:r>
      <w:r>
        <w:rPr>
          <w:sz w:val="24"/>
        </w:rPr>
        <w:t>数字证书因遗失、损坏、企业信息变更等情况</w:t>
      </w:r>
      <w:r>
        <w:rPr>
          <w:rFonts w:hint="eastAsia"/>
          <w:sz w:val="24"/>
        </w:rPr>
        <w:t>需</w:t>
      </w:r>
      <w:r>
        <w:rPr>
          <w:sz w:val="24"/>
        </w:rPr>
        <w:t>更换新证书</w:t>
      </w:r>
      <w:r>
        <w:rPr>
          <w:rFonts w:hint="eastAsia"/>
          <w:sz w:val="24"/>
        </w:rPr>
        <w:t>。</w:t>
      </w:r>
    </w:p>
    <w:p w14:paraId="172C97F3">
      <w:pPr>
        <w:autoSpaceDE w:val="0"/>
        <w:autoSpaceDN w:val="0"/>
        <w:adjustRightInd w:val="0"/>
        <w:spacing w:before="0" w:after="0" w:line="560" w:lineRule="exact"/>
        <w:ind w:firstLine="480" w:firstLineChars="200"/>
        <w:rPr>
          <w:sz w:val="24"/>
        </w:rPr>
      </w:pPr>
      <w:r>
        <w:rPr>
          <w:rFonts w:hint="eastAsia"/>
          <w:sz w:val="24"/>
        </w:rPr>
        <w:t>3.</w:t>
      </w:r>
      <w:r>
        <w:rPr>
          <w:sz w:val="24"/>
        </w:rPr>
        <w:t>投标人由于数字证书遗失、损坏、更换、续期等情况导致投标文件无法解密，由投标人自行承担责任。</w:t>
      </w:r>
    </w:p>
    <w:p w14:paraId="1CA50BFD">
      <w:pPr>
        <w:autoSpaceDE w:val="0"/>
        <w:autoSpaceDN w:val="0"/>
        <w:adjustRightInd w:val="0"/>
        <w:spacing w:before="0" w:after="0" w:line="560" w:lineRule="exact"/>
        <w:ind w:firstLine="480" w:firstLineChars="200"/>
        <w:rPr>
          <w:sz w:val="24"/>
        </w:rPr>
      </w:pPr>
      <w:r>
        <w:rPr>
          <w:rFonts w:hint="eastAsia"/>
          <w:sz w:val="24"/>
        </w:rPr>
        <w:t>（二）</w:t>
      </w:r>
      <w:r>
        <w:rPr>
          <w:sz w:val="24"/>
        </w:rPr>
        <w:t>特殊情形</w:t>
      </w:r>
    </w:p>
    <w:p w14:paraId="6D84682E">
      <w:pPr>
        <w:autoSpaceDE w:val="0"/>
        <w:autoSpaceDN w:val="0"/>
        <w:adjustRightInd w:val="0"/>
        <w:spacing w:before="0" w:after="0" w:line="560" w:lineRule="exact"/>
        <w:ind w:firstLine="480" w:firstLineChars="200"/>
        <w:rPr>
          <w:sz w:val="24"/>
        </w:rPr>
      </w:pPr>
      <w:r>
        <w:rPr>
          <w:sz w:val="24"/>
        </w:rPr>
        <w:t>1.出现下列情形导致电子招投标系统无法正常运行，或者无法保证招投标过程的公平、公正和信息安全时，各方当事人免责。</w:t>
      </w:r>
    </w:p>
    <w:p w14:paraId="10699FA0">
      <w:pPr>
        <w:autoSpaceDE w:val="0"/>
        <w:autoSpaceDN w:val="0"/>
        <w:adjustRightInd w:val="0"/>
        <w:spacing w:before="0" w:after="0" w:line="560" w:lineRule="exact"/>
        <w:ind w:firstLine="480" w:firstLineChars="200"/>
        <w:rPr>
          <w:sz w:val="24"/>
        </w:rPr>
      </w:pPr>
      <w:r>
        <w:rPr>
          <w:sz w:val="24"/>
        </w:rPr>
        <w:t>（1）网络服务器发生故障而无法访问网站或无法使用电子招投标系统。</w:t>
      </w:r>
    </w:p>
    <w:p w14:paraId="042F48F6">
      <w:pPr>
        <w:autoSpaceDE w:val="0"/>
        <w:autoSpaceDN w:val="0"/>
        <w:adjustRightInd w:val="0"/>
        <w:spacing w:before="0" w:after="0" w:line="560" w:lineRule="exact"/>
        <w:ind w:firstLine="480" w:firstLineChars="200"/>
        <w:rPr>
          <w:sz w:val="24"/>
        </w:rPr>
      </w:pPr>
      <w:r>
        <w:rPr>
          <w:sz w:val="24"/>
        </w:rPr>
        <w:t>（2）电子招投标系统的软件或网络数据库出现错误，不能进行正常操作。</w:t>
      </w:r>
    </w:p>
    <w:p w14:paraId="3D875017">
      <w:pPr>
        <w:autoSpaceDE w:val="0"/>
        <w:autoSpaceDN w:val="0"/>
        <w:adjustRightInd w:val="0"/>
        <w:spacing w:before="0" w:after="0" w:line="560" w:lineRule="exact"/>
        <w:ind w:firstLine="480" w:firstLineChars="200"/>
        <w:rPr>
          <w:sz w:val="24"/>
        </w:rPr>
      </w:pPr>
      <w:r>
        <w:rPr>
          <w:sz w:val="24"/>
        </w:rPr>
        <w:t>（3）电子招投标系统发现有安全漏洞，有潜在的泄密危险。</w:t>
      </w:r>
    </w:p>
    <w:p w14:paraId="37E68D80">
      <w:pPr>
        <w:autoSpaceDE w:val="0"/>
        <w:autoSpaceDN w:val="0"/>
        <w:adjustRightInd w:val="0"/>
        <w:spacing w:before="0" w:after="0" w:line="560" w:lineRule="exact"/>
        <w:ind w:firstLine="480" w:firstLineChars="200"/>
        <w:rPr>
          <w:sz w:val="24"/>
        </w:rPr>
      </w:pPr>
      <w:r>
        <w:rPr>
          <w:sz w:val="24"/>
        </w:rPr>
        <w:t>（4）计算机病毒发作导致电子招投标系统无法正常运行的。</w:t>
      </w:r>
    </w:p>
    <w:p w14:paraId="7E4D6944">
      <w:pPr>
        <w:autoSpaceDE w:val="0"/>
        <w:autoSpaceDN w:val="0"/>
        <w:adjustRightInd w:val="0"/>
        <w:spacing w:before="0" w:after="0" w:line="560" w:lineRule="exact"/>
        <w:ind w:firstLine="480" w:firstLineChars="200"/>
        <w:rPr>
          <w:sz w:val="24"/>
        </w:rPr>
      </w:pPr>
      <w:r>
        <w:rPr>
          <w:sz w:val="24"/>
        </w:rPr>
        <w:t>（5）电力系统发生故障导致电子招投标系统无法运行。</w:t>
      </w:r>
    </w:p>
    <w:p w14:paraId="02776827">
      <w:pPr>
        <w:autoSpaceDE w:val="0"/>
        <w:autoSpaceDN w:val="0"/>
        <w:adjustRightInd w:val="0"/>
        <w:spacing w:before="0" w:after="0" w:line="560" w:lineRule="exact"/>
        <w:ind w:firstLine="480" w:firstLineChars="200"/>
        <w:rPr>
          <w:sz w:val="24"/>
        </w:rPr>
      </w:pPr>
      <w:r>
        <w:rPr>
          <w:sz w:val="24"/>
        </w:rPr>
        <w:t>（6）其他无法保证招投标过程公平、公正和信息安全的。</w:t>
      </w:r>
    </w:p>
    <w:p w14:paraId="06A0C523">
      <w:pPr>
        <w:autoSpaceDE w:val="0"/>
        <w:autoSpaceDN w:val="0"/>
        <w:adjustRightInd w:val="0"/>
        <w:spacing w:before="0" w:after="0" w:line="560" w:lineRule="exact"/>
        <w:ind w:firstLine="480" w:firstLineChars="200"/>
        <w:rPr>
          <w:sz w:val="24"/>
        </w:rPr>
      </w:pPr>
      <w:r>
        <w:rPr>
          <w:rFonts w:ascii="Times New Roman" w:hAnsi="Times New Roman"/>
          <w:sz w:val="24"/>
        </w:rPr>
        <w:t>2</w:t>
      </w:r>
      <w:r>
        <w:rPr>
          <w:sz w:val="24"/>
        </w:rPr>
        <w:t>.出现</w:t>
      </w:r>
      <w:r>
        <w:rPr>
          <w:rFonts w:hint="eastAsia"/>
          <w:sz w:val="24"/>
        </w:rPr>
        <w:t>前款</w:t>
      </w:r>
      <w:r>
        <w:rPr>
          <w:sz w:val="24"/>
        </w:rPr>
        <w:t>情形时，若能保证在</w:t>
      </w:r>
      <w:r>
        <w:rPr>
          <w:rFonts w:hint="eastAsia"/>
          <w:sz w:val="24"/>
          <w:lang w:val="en-US"/>
        </w:rPr>
        <w:t>开启</w:t>
      </w:r>
      <w:r>
        <w:rPr>
          <w:sz w:val="24"/>
        </w:rPr>
        <w:t>前恢复系统运行的，</w:t>
      </w:r>
      <w:r>
        <w:rPr>
          <w:rFonts w:hint="eastAsia"/>
          <w:sz w:val="24"/>
          <w:lang w:val="en-US"/>
        </w:rPr>
        <w:t>采购响应</w:t>
      </w:r>
      <w:r>
        <w:rPr>
          <w:sz w:val="24"/>
        </w:rPr>
        <w:t>程序继续进行；若开</w:t>
      </w:r>
      <w:r>
        <w:rPr>
          <w:rFonts w:hint="eastAsia"/>
          <w:sz w:val="24"/>
          <w:lang w:val="en-US"/>
        </w:rPr>
        <w:t>启</w:t>
      </w:r>
      <w:r>
        <w:rPr>
          <w:sz w:val="24"/>
        </w:rPr>
        <w:t>前不能恢复系统运行的，</w:t>
      </w:r>
      <w:r>
        <w:rPr>
          <w:rFonts w:hint="eastAsia"/>
          <w:sz w:val="24"/>
        </w:rPr>
        <w:t>项目延期</w:t>
      </w:r>
      <w:r>
        <w:rPr>
          <w:sz w:val="24"/>
        </w:rPr>
        <w:t>，</w:t>
      </w:r>
      <w:r>
        <w:rPr>
          <w:rFonts w:hint="eastAsia"/>
          <w:sz w:val="24"/>
        </w:rPr>
        <w:t>具体</w:t>
      </w:r>
      <w:r>
        <w:rPr>
          <w:sz w:val="24"/>
        </w:rPr>
        <w:t>按通知执行。</w:t>
      </w:r>
    </w:p>
    <w:p w14:paraId="188DF909">
      <w:pPr>
        <w:rPr>
          <w:rFonts w:hint="eastAsia" w:asciiTheme="minorEastAsia" w:hAnsiTheme="minorEastAsia" w:cstheme="minorEastAsia"/>
          <w:color w:val="000000" w:themeColor="text1"/>
          <w14:textFill>
            <w14:solidFill>
              <w14:schemeClr w14:val="tx1"/>
            </w14:solidFill>
          </w14:textFill>
        </w:rPr>
      </w:pPr>
    </w:p>
    <w:p w14:paraId="3550F86B">
      <w:pPr>
        <w:rPr>
          <w:rFonts w:hint="eastAsia"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000000" w:themeColor="text1"/>
          <w14:textFill>
            <w14:solidFill>
              <w14:schemeClr w14:val="tx1"/>
            </w14:solidFill>
          </w14:textFill>
        </w:rPr>
        <w:br w:type="page"/>
      </w:r>
    </w:p>
    <w:p w14:paraId="4B5F3BA3">
      <w:pPr>
        <w:pStyle w:val="13"/>
        <w:spacing w:after="120" w:line="480" w:lineRule="exact"/>
        <w:jc w:val="center"/>
        <w:outlineLvl w:val="0"/>
        <w:rPr>
          <w:rFonts w:hint="eastAsia" w:hAnsi="宋体" w:eastAsia="宋体" w:cs="宋体"/>
          <w:b/>
          <w:sz w:val="30"/>
          <w:szCs w:val="36"/>
          <w:lang w:val="en-US"/>
        </w:rPr>
      </w:pPr>
      <w:bookmarkStart w:id="105" w:name="_Toc5198"/>
      <w:bookmarkStart w:id="106" w:name="_Toc16666"/>
      <w:bookmarkStart w:id="107" w:name="_Toc26758"/>
      <w:r>
        <w:rPr>
          <w:rFonts w:hint="eastAsia" w:hAnsi="宋体" w:eastAsia="宋体" w:cs="宋体"/>
          <w:b/>
          <w:sz w:val="30"/>
          <w:szCs w:val="36"/>
          <w:lang w:val="en-US"/>
        </w:rPr>
        <w:t>四、评审办法</w:t>
      </w:r>
      <w:bookmarkEnd w:id="105"/>
      <w:bookmarkEnd w:id="106"/>
      <w:bookmarkEnd w:id="107"/>
    </w:p>
    <w:p w14:paraId="364F8383">
      <w:pPr>
        <w:spacing w:before="0" w:after="0" w:line="560" w:lineRule="exact"/>
        <w:outlineLvl w:val="1"/>
        <w:rPr>
          <w:rFonts w:hint="eastAsia" w:asciiTheme="minorEastAsia" w:hAnsiTheme="minorEastAsia" w:cstheme="minorEastAsia"/>
          <w:b/>
          <w:bCs/>
          <w:color w:val="000000" w:themeColor="text1"/>
          <w:sz w:val="24"/>
          <w:szCs w:val="24"/>
          <w:lang w:val="en-US"/>
          <w14:textFill>
            <w14:solidFill>
              <w14:schemeClr w14:val="tx1"/>
            </w14:solidFill>
          </w14:textFill>
        </w:rPr>
      </w:pPr>
      <w:bookmarkStart w:id="108" w:name="_Toc29473"/>
      <w:bookmarkStart w:id="109" w:name="_Toc21125"/>
      <w:bookmarkStart w:id="110" w:name="_Toc3163"/>
      <w:r>
        <w:rPr>
          <w:rFonts w:hint="eastAsia" w:asciiTheme="minorEastAsia" w:hAnsiTheme="minorEastAsia" w:cstheme="minorEastAsia"/>
          <w:b/>
          <w:bCs/>
          <w:color w:val="000000" w:themeColor="text1"/>
          <w:sz w:val="24"/>
          <w:szCs w:val="24"/>
          <w:lang w:val="en-US"/>
          <w14:textFill>
            <w14:solidFill>
              <w14:schemeClr w14:val="tx1"/>
            </w14:solidFill>
          </w14:textFill>
        </w:rPr>
        <w:t>1.符合性评审</w:t>
      </w:r>
      <w:bookmarkEnd w:id="108"/>
      <w:bookmarkEnd w:id="109"/>
      <w:bookmarkEnd w:id="110"/>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2917"/>
        <w:gridCol w:w="4926"/>
      </w:tblGrid>
      <w:tr w14:paraId="7EC4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721BE00F">
            <w:pPr>
              <w:spacing w:before="0" w:after="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917" w:type="dxa"/>
            <w:vAlign w:val="center"/>
          </w:tcPr>
          <w:p w14:paraId="10361C1C">
            <w:pPr>
              <w:spacing w:before="0" w:after="0"/>
              <w:jc w:val="center"/>
              <w:rPr>
                <w:rFonts w:hint="eastAsia" w:ascii="宋体" w:hAnsi="宋体" w:eastAsia="宋体" w:cs="宋体"/>
                <w:sz w:val="24"/>
                <w:szCs w:val="24"/>
              </w:rPr>
            </w:pPr>
            <w:r>
              <w:rPr>
                <w:rFonts w:hint="eastAsia" w:ascii="宋体" w:hAnsi="宋体" w:eastAsia="宋体" w:cs="宋体"/>
                <w:sz w:val="24"/>
                <w:szCs w:val="24"/>
              </w:rPr>
              <w:t>项目</w:t>
            </w:r>
          </w:p>
        </w:tc>
        <w:tc>
          <w:tcPr>
            <w:tcW w:w="4926" w:type="dxa"/>
            <w:vAlign w:val="center"/>
          </w:tcPr>
          <w:p w14:paraId="1F07DCAF">
            <w:pPr>
              <w:spacing w:before="0" w:after="0"/>
              <w:jc w:val="center"/>
              <w:rPr>
                <w:rFonts w:hint="eastAsia" w:ascii="宋体" w:hAnsi="宋体" w:eastAsia="宋体" w:cs="宋体"/>
                <w:sz w:val="24"/>
                <w:szCs w:val="24"/>
              </w:rPr>
            </w:pPr>
            <w:r>
              <w:rPr>
                <w:rFonts w:hint="eastAsia" w:ascii="宋体" w:hAnsi="宋体" w:eastAsia="宋体" w:cs="宋体"/>
                <w:sz w:val="24"/>
                <w:szCs w:val="24"/>
              </w:rPr>
              <w:t>要求</w:t>
            </w:r>
          </w:p>
        </w:tc>
      </w:tr>
      <w:tr w14:paraId="49B8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39D1708C">
            <w:pPr>
              <w:spacing w:before="0" w:after="0"/>
              <w:jc w:val="center"/>
              <w:rPr>
                <w:rFonts w:hint="eastAsia" w:ascii="宋体" w:hAnsi="宋体" w:eastAsia="宋体" w:cs="宋体"/>
                <w:sz w:val="24"/>
                <w:szCs w:val="24"/>
              </w:rPr>
            </w:pPr>
            <w:r>
              <w:rPr>
                <w:rFonts w:hint="eastAsia" w:ascii="宋体" w:hAnsi="宋体" w:eastAsia="宋体" w:cs="宋体"/>
                <w:sz w:val="24"/>
                <w:szCs w:val="24"/>
              </w:rPr>
              <w:t>1</w:t>
            </w:r>
          </w:p>
        </w:tc>
        <w:tc>
          <w:tcPr>
            <w:tcW w:w="2917" w:type="dxa"/>
            <w:vAlign w:val="center"/>
          </w:tcPr>
          <w:p w14:paraId="6F479DA9">
            <w:pPr>
              <w:spacing w:before="0" w:after="0"/>
              <w:jc w:val="center"/>
              <w:rPr>
                <w:rFonts w:hint="eastAsia" w:ascii="宋体" w:hAnsi="宋体" w:eastAsia="宋体" w:cs="宋体"/>
                <w:sz w:val="24"/>
                <w:szCs w:val="24"/>
              </w:rPr>
            </w:pPr>
            <w:r>
              <w:rPr>
                <w:rFonts w:hint="eastAsia" w:ascii="宋体" w:hAnsi="宋体" w:eastAsia="宋体" w:cs="宋体"/>
                <w:sz w:val="24"/>
                <w:szCs w:val="24"/>
              </w:rPr>
              <w:t>封面</w:t>
            </w:r>
          </w:p>
        </w:tc>
        <w:tc>
          <w:tcPr>
            <w:tcW w:w="4926" w:type="dxa"/>
            <w:vAlign w:val="center"/>
          </w:tcPr>
          <w:p w14:paraId="552164DD">
            <w:pPr>
              <w:spacing w:before="0" w:after="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格式自拟，需</w:t>
            </w:r>
            <w:r>
              <w:rPr>
                <w:rFonts w:hint="eastAsia" w:ascii="宋体" w:hAnsi="宋体" w:eastAsia="宋体" w:cs="宋体"/>
                <w:sz w:val="24"/>
                <w:szCs w:val="24"/>
              </w:rPr>
              <w:t>签字盖章</w:t>
            </w:r>
            <w:r>
              <w:rPr>
                <w:rFonts w:hint="eastAsia" w:ascii="宋体" w:hAnsi="宋体" w:eastAsia="宋体" w:cs="宋体"/>
                <w:sz w:val="24"/>
                <w:szCs w:val="24"/>
                <w:lang w:eastAsia="zh-CN"/>
              </w:rPr>
              <w:t>。</w:t>
            </w:r>
          </w:p>
        </w:tc>
      </w:tr>
      <w:tr w14:paraId="1D94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3F7711FD">
            <w:pPr>
              <w:spacing w:before="0" w:after="0"/>
              <w:jc w:val="center"/>
              <w:rPr>
                <w:rFonts w:hint="eastAsia" w:ascii="宋体" w:hAnsi="宋体" w:eastAsia="宋体" w:cs="宋体"/>
                <w:sz w:val="24"/>
                <w:szCs w:val="24"/>
              </w:rPr>
            </w:pPr>
            <w:r>
              <w:rPr>
                <w:rFonts w:hint="eastAsia" w:ascii="宋体" w:hAnsi="宋体" w:eastAsia="宋体" w:cs="宋体"/>
                <w:sz w:val="24"/>
                <w:szCs w:val="24"/>
              </w:rPr>
              <w:t>2</w:t>
            </w:r>
          </w:p>
        </w:tc>
        <w:tc>
          <w:tcPr>
            <w:tcW w:w="2917" w:type="dxa"/>
            <w:vAlign w:val="center"/>
          </w:tcPr>
          <w:p w14:paraId="17BD702F">
            <w:pPr>
              <w:spacing w:before="0" w:after="0"/>
              <w:jc w:val="center"/>
              <w:rPr>
                <w:rFonts w:hint="eastAsia" w:ascii="宋体" w:hAnsi="宋体" w:eastAsia="宋体" w:cs="宋体"/>
                <w:sz w:val="24"/>
                <w:szCs w:val="24"/>
              </w:rPr>
            </w:pPr>
            <w:r>
              <w:rPr>
                <w:rFonts w:hint="eastAsia" w:ascii="宋体" w:hAnsi="宋体" w:eastAsia="宋体" w:cs="宋体"/>
                <w:sz w:val="24"/>
                <w:szCs w:val="24"/>
              </w:rPr>
              <w:t>法定代表人身份证明</w:t>
            </w:r>
          </w:p>
        </w:tc>
        <w:tc>
          <w:tcPr>
            <w:tcW w:w="4926" w:type="dxa"/>
            <w:vAlign w:val="center"/>
          </w:tcPr>
          <w:p w14:paraId="32CE5978">
            <w:pPr>
              <w:spacing w:before="0" w:after="0"/>
              <w:jc w:val="center"/>
              <w:rPr>
                <w:rFonts w:hint="eastAsia" w:ascii="宋体" w:hAnsi="宋体" w:eastAsia="宋体" w:cs="宋体"/>
                <w:sz w:val="24"/>
                <w:szCs w:val="24"/>
                <w:lang w:eastAsia="zh-CN"/>
              </w:rPr>
            </w:pPr>
            <w:r>
              <w:rPr>
                <w:rFonts w:hint="eastAsia" w:ascii="宋体" w:hAnsi="宋体" w:eastAsia="宋体" w:cs="宋体"/>
                <w:sz w:val="24"/>
                <w:szCs w:val="24"/>
              </w:rPr>
              <w:t>采用</w:t>
            </w:r>
            <w:r>
              <w:rPr>
                <w:rFonts w:hint="eastAsia" w:ascii="宋体" w:hAnsi="宋体" w:eastAsia="宋体" w:cs="宋体"/>
                <w:sz w:val="24"/>
                <w:szCs w:val="24"/>
                <w:lang w:val="en-US"/>
              </w:rPr>
              <w:t>第七章</w:t>
            </w:r>
            <w:r>
              <w:rPr>
                <w:rFonts w:hint="eastAsia" w:ascii="宋体" w:hAnsi="宋体" w:eastAsia="宋体" w:cs="宋体"/>
                <w:sz w:val="24"/>
                <w:szCs w:val="24"/>
              </w:rPr>
              <w:t>给定格式，填写完整</w:t>
            </w:r>
            <w:r>
              <w:rPr>
                <w:rFonts w:hint="eastAsia" w:ascii="宋体" w:hAnsi="宋体" w:eastAsia="宋体" w:cs="宋体"/>
                <w:sz w:val="24"/>
                <w:szCs w:val="24"/>
                <w:lang w:eastAsia="zh-CN"/>
              </w:rPr>
              <w:t>。</w:t>
            </w:r>
          </w:p>
        </w:tc>
      </w:tr>
      <w:tr w14:paraId="1FEC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3378D416">
            <w:pPr>
              <w:spacing w:before="0" w:after="0"/>
              <w:jc w:val="center"/>
              <w:rPr>
                <w:rFonts w:hint="eastAsia" w:ascii="宋体" w:hAnsi="宋体" w:eastAsia="宋体" w:cs="宋体"/>
                <w:sz w:val="24"/>
                <w:szCs w:val="24"/>
              </w:rPr>
            </w:pPr>
            <w:r>
              <w:rPr>
                <w:rFonts w:hint="eastAsia" w:ascii="宋体" w:hAnsi="宋体" w:eastAsia="宋体" w:cs="宋体"/>
                <w:sz w:val="24"/>
                <w:szCs w:val="24"/>
              </w:rPr>
              <w:t>3</w:t>
            </w:r>
          </w:p>
        </w:tc>
        <w:tc>
          <w:tcPr>
            <w:tcW w:w="2917" w:type="dxa"/>
            <w:vAlign w:val="center"/>
          </w:tcPr>
          <w:p w14:paraId="218E0B3E">
            <w:pPr>
              <w:spacing w:before="0" w:after="0"/>
              <w:jc w:val="center"/>
              <w:rPr>
                <w:rFonts w:hint="eastAsia" w:ascii="宋体" w:hAnsi="宋体" w:eastAsia="宋体" w:cs="宋体"/>
                <w:sz w:val="24"/>
                <w:szCs w:val="24"/>
              </w:rPr>
            </w:pPr>
            <w:r>
              <w:rPr>
                <w:rFonts w:hint="eastAsia" w:ascii="宋体" w:hAnsi="宋体" w:eastAsia="宋体" w:cs="宋体"/>
                <w:sz w:val="24"/>
                <w:szCs w:val="24"/>
              </w:rPr>
              <w:t>法定代表人授权委托书</w:t>
            </w:r>
          </w:p>
        </w:tc>
        <w:tc>
          <w:tcPr>
            <w:tcW w:w="4926" w:type="dxa"/>
            <w:vAlign w:val="center"/>
          </w:tcPr>
          <w:p w14:paraId="2EA7749D">
            <w:pPr>
              <w:spacing w:before="0" w:after="0"/>
              <w:jc w:val="left"/>
              <w:rPr>
                <w:rFonts w:hint="eastAsia" w:ascii="宋体" w:hAnsi="宋体" w:eastAsia="宋体" w:cs="宋体"/>
                <w:sz w:val="24"/>
                <w:szCs w:val="24"/>
                <w:lang w:val="en-US"/>
              </w:rPr>
            </w:pPr>
            <w:r>
              <w:rPr>
                <w:rFonts w:hint="eastAsia" w:ascii="宋体" w:hAnsi="宋体" w:eastAsia="宋体" w:cs="宋体"/>
                <w:sz w:val="24"/>
                <w:szCs w:val="24"/>
              </w:rPr>
              <w:t>采用</w:t>
            </w:r>
            <w:r>
              <w:rPr>
                <w:rFonts w:hint="eastAsia" w:ascii="宋体" w:hAnsi="宋体" w:eastAsia="宋体" w:cs="宋体"/>
                <w:sz w:val="24"/>
                <w:szCs w:val="24"/>
                <w:lang w:val="en-US"/>
              </w:rPr>
              <w:t>第</w:t>
            </w:r>
            <w:r>
              <w:rPr>
                <w:rFonts w:hint="eastAsia" w:ascii="宋体" w:hAnsi="宋体" w:eastAsia="宋体" w:cs="宋体"/>
                <w:sz w:val="24"/>
                <w:szCs w:val="24"/>
                <w:lang w:val="en-US" w:eastAsia="zh-CN"/>
              </w:rPr>
              <w:t>七</w:t>
            </w:r>
            <w:r>
              <w:rPr>
                <w:rFonts w:hint="eastAsia" w:ascii="宋体" w:hAnsi="宋体" w:eastAsia="宋体" w:cs="宋体"/>
                <w:sz w:val="24"/>
                <w:szCs w:val="24"/>
                <w:lang w:val="en-US"/>
              </w:rPr>
              <w:t>章</w:t>
            </w:r>
            <w:r>
              <w:rPr>
                <w:rFonts w:hint="eastAsia" w:ascii="宋体" w:hAnsi="宋体" w:eastAsia="宋体" w:cs="宋体"/>
                <w:sz w:val="24"/>
                <w:szCs w:val="24"/>
              </w:rPr>
              <w:t>给定格式，填写完整，</w:t>
            </w:r>
            <w:r>
              <w:rPr>
                <w:rFonts w:hint="eastAsia" w:ascii="宋体" w:hAnsi="宋体" w:eastAsia="宋体" w:cs="宋体"/>
                <w:sz w:val="24"/>
                <w:szCs w:val="24"/>
                <w:lang w:val="en-US"/>
              </w:rPr>
              <w:t>无授权委托人可不提供。</w:t>
            </w:r>
          </w:p>
        </w:tc>
      </w:tr>
      <w:tr w14:paraId="13A6C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583F8D02">
            <w:pPr>
              <w:spacing w:before="0" w:after="0"/>
              <w:jc w:val="center"/>
              <w:rPr>
                <w:rFonts w:hint="eastAsia" w:ascii="宋体" w:hAnsi="宋体" w:eastAsia="宋体" w:cs="宋体"/>
                <w:sz w:val="24"/>
                <w:szCs w:val="24"/>
              </w:rPr>
            </w:pPr>
            <w:r>
              <w:rPr>
                <w:rFonts w:hint="eastAsia" w:ascii="宋体" w:hAnsi="宋体" w:eastAsia="宋体" w:cs="宋体"/>
                <w:sz w:val="24"/>
                <w:szCs w:val="24"/>
              </w:rPr>
              <w:t>4</w:t>
            </w:r>
          </w:p>
        </w:tc>
        <w:tc>
          <w:tcPr>
            <w:tcW w:w="2917" w:type="dxa"/>
            <w:vAlign w:val="center"/>
          </w:tcPr>
          <w:p w14:paraId="4C8434E3">
            <w:pPr>
              <w:spacing w:before="0" w:after="0"/>
              <w:jc w:val="center"/>
              <w:rPr>
                <w:rFonts w:hint="eastAsia" w:ascii="宋体" w:hAnsi="宋体" w:eastAsia="宋体" w:cs="宋体"/>
                <w:sz w:val="24"/>
                <w:szCs w:val="24"/>
              </w:rPr>
            </w:pPr>
            <w:r>
              <w:rPr>
                <w:rFonts w:hint="eastAsia" w:ascii="宋体" w:hAnsi="宋体" w:eastAsia="宋体" w:cs="宋体"/>
                <w:sz w:val="24"/>
                <w:szCs w:val="24"/>
              </w:rPr>
              <w:t>授权委托人本单位三个月内社保证明</w:t>
            </w:r>
          </w:p>
        </w:tc>
        <w:tc>
          <w:tcPr>
            <w:tcW w:w="4926" w:type="dxa"/>
            <w:vAlign w:val="center"/>
          </w:tcPr>
          <w:p w14:paraId="4531C097">
            <w:pPr>
              <w:spacing w:before="0" w:after="0"/>
              <w:jc w:val="center"/>
              <w:rPr>
                <w:rFonts w:hint="eastAsia" w:ascii="宋体" w:hAnsi="宋体" w:eastAsia="宋体" w:cs="宋体"/>
                <w:sz w:val="24"/>
                <w:szCs w:val="24"/>
              </w:rPr>
            </w:pPr>
            <w:r>
              <w:rPr>
                <w:rFonts w:hint="eastAsia" w:ascii="宋体" w:hAnsi="宋体" w:eastAsia="宋体" w:cs="宋体"/>
                <w:sz w:val="24"/>
                <w:szCs w:val="24"/>
              </w:rPr>
              <w:t>无授权委托人可不提供</w:t>
            </w:r>
          </w:p>
        </w:tc>
      </w:tr>
      <w:tr w14:paraId="4A1A7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599F0937">
            <w:pPr>
              <w:spacing w:before="0" w:after="0"/>
              <w:jc w:val="center"/>
              <w:rPr>
                <w:rFonts w:hint="eastAsia" w:ascii="宋体" w:hAnsi="宋体" w:eastAsia="宋体" w:cs="宋体"/>
                <w:sz w:val="24"/>
                <w:szCs w:val="24"/>
              </w:rPr>
            </w:pPr>
            <w:r>
              <w:rPr>
                <w:rFonts w:hint="eastAsia" w:ascii="宋体" w:hAnsi="宋体" w:eastAsia="宋体" w:cs="宋体"/>
                <w:sz w:val="24"/>
                <w:szCs w:val="24"/>
              </w:rPr>
              <w:t>5</w:t>
            </w:r>
          </w:p>
        </w:tc>
        <w:tc>
          <w:tcPr>
            <w:tcW w:w="2917" w:type="dxa"/>
            <w:vAlign w:val="center"/>
          </w:tcPr>
          <w:p w14:paraId="5A3D5D5A">
            <w:pPr>
              <w:spacing w:before="0" w:after="0"/>
              <w:jc w:val="center"/>
              <w:rPr>
                <w:rFonts w:hint="eastAsia" w:ascii="宋体" w:hAnsi="宋体" w:eastAsia="宋体" w:cs="宋体"/>
                <w:sz w:val="24"/>
                <w:szCs w:val="24"/>
              </w:rPr>
            </w:pPr>
            <w:r>
              <w:rPr>
                <w:rFonts w:hint="eastAsia" w:ascii="宋体" w:hAnsi="宋体" w:eastAsia="宋体" w:cs="宋体"/>
                <w:sz w:val="24"/>
                <w:szCs w:val="24"/>
              </w:rPr>
              <w:t>独立法人</w:t>
            </w:r>
          </w:p>
        </w:tc>
        <w:tc>
          <w:tcPr>
            <w:tcW w:w="4926" w:type="dxa"/>
            <w:vAlign w:val="center"/>
          </w:tcPr>
          <w:p w14:paraId="6AAF6028">
            <w:pPr>
              <w:spacing w:before="0" w:after="0"/>
              <w:jc w:val="center"/>
              <w:rPr>
                <w:rFonts w:hint="eastAsia" w:ascii="宋体" w:hAnsi="宋体" w:eastAsia="宋体" w:cs="宋体"/>
                <w:sz w:val="24"/>
                <w:szCs w:val="24"/>
              </w:rPr>
            </w:pPr>
            <w:r>
              <w:rPr>
                <w:rFonts w:hint="eastAsia" w:ascii="宋体" w:hAnsi="宋体" w:eastAsia="宋体" w:cs="宋体"/>
                <w:sz w:val="24"/>
                <w:szCs w:val="24"/>
                <w:lang w:val="en-US"/>
              </w:rPr>
              <w:t>具有独立法人资格。 具有有效的营业执照，提供品牌生产厂家的特种设备生产许可证，代理品牌须提供授权证明。</w:t>
            </w:r>
          </w:p>
        </w:tc>
      </w:tr>
      <w:tr w14:paraId="30FFD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54C28D2F">
            <w:pPr>
              <w:spacing w:before="0" w:after="0"/>
              <w:jc w:val="center"/>
              <w:rPr>
                <w:rFonts w:hint="eastAsia" w:ascii="宋体" w:hAnsi="宋体" w:eastAsia="宋体" w:cs="宋体"/>
                <w:sz w:val="24"/>
                <w:szCs w:val="24"/>
              </w:rPr>
            </w:pPr>
            <w:r>
              <w:rPr>
                <w:rFonts w:hint="eastAsia" w:ascii="宋体" w:hAnsi="宋体" w:eastAsia="宋体" w:cs="宋体"/>
                <w:sz w:val="24"/>
                <w:szCs w:val="24"/>
              </w:rPr>
              <w:t>6</w:t>
            </w:r>
          </w:p>
        </w:tc>
        <w:tc>
          <w:tcPr>
            <w:tcW w:w="2917" w:type="dxa"/>
            <w:shd w:val="clear" w:color="auto" w:fill="auto"/>
            <w:vAlign w:val="center"/>
          </w:tcPr>
          <w:p w14:paraId="524DEFBB">
            <w:pPr>
              <w:spacing w:before="0" w:after="0"/>
              <w:jc w:val="center"/>
              <w:rPr>
                <w:rFonts w:hint="eastAsia" w:ascii="宋体" w:hAnsi="宋体" w:eastAsia="宋体" w:cs="宋体"/>
                <w:sz w:val="24"/>
                <w:szCs w:val="24"/>
                <w:lang w:val="ru-RU" w:eastAsia="zh-CN" w:bidi="ar-SA"/>
              </w:rPr>
            </w:pPr>
            <w:r>
              <w:rPr>
                <w:rFonts w:hint="eastAsia" w:ascii="宋体" w:hAnsi="宋体" w:eastAsia="宋体" w:cs="宋体"/>
                <w:sz w:val="24"/>
                <w:szCs w:val="24"/>
              </w:rPr>
              <w:t>公共信用信息报告</w:t>
            </w:r>
          </w:p>
        </w:tc>
        <w:tc>
          <w:tcPr>
            <w:tcW w:w="4926" w:type="dxa"/>
            <w:shd w:val="clear" w:color="auto" w:fill="auto"/>
            <w:vAlign w:val="center"/>
          </w:tcPr>
          <w:p w14:paraId="1031DD07">
            <w:pPr>
              <w:spacing w:before="0" w:after="0"/>
              <w:jc w:val="left"/>
              <w:rPr>
                <w:rFonts w:hint="eastAsia" w:ascii="宋体" w:hAnsi="宋体" w:eastAsia="宋体" w:cs="宋体"/>
                <w:sz w:val="24"/>
                <w:szCs w:val="24"/>
                <w:lang w:val="ru-RU" w:eastAsia="zh-CN" w:bidi="ar-SA"/>
              </w:rPr>
            </w:pPr>
            <w:r>
              <w:rPr>
                <w:rFonts w:hint="eastAsia" w:ascii="宋体" w:hAnsi="宋体" w:eastAsia="宋体" w:cs="宋体"/>
                <w:sz w:val="24"/>
                <w:szCs w:val="24"/>
              </w:rPr>
              <w:t>登录“https://www.creditchina.gov.cn/”→查询法人信用信息→下载信用信息报告（</w:t>
            </w:r>
            <w:r>
              <w:rPr>
                <w:rFonts w:hint="eastAsia" w:ascii="宋体" w:hAnsi="宋体" w:eastAsia="宋体" w:cs="宋体"/>
                <w:sz w:val="24"/>
                <w:szCs w:val="24"/>
                <w:lang w:val="en-US"/>
              </w:rPr>
              <w:t>近一个月内</w:t>
            </w:r>
            <w:r>
              <w:rPr>
                <w:rFonts w:hint="eastAsia" w:ascii="宋体" w:hAnsi="宋体" w:eastAsia="宋体" w:cs="宋体"/>
                <w:sz w:val="24"/>
                <w:szCs w:val="24"/>
              </w:rPr>
              <w:t>）</w:t>
            </w:r>
          </w:p>
        </w:tc>
      </w:tr>
      <w:tr w14:paraId="2520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5D22DF51">
            <w:pPr>
              <w:spacing w:before="0" w:after="0"/>
              <w:jc w:val="center"/>
              <w:rPr>
                <w:rFonts w:hint="eastAsia" w:ascii="宋体" w:hAnsi="宋体" w:eastAsia="宋体" w:cs="宋体"/>
                <w:sz w:val="24"/>
                <w:szCs w:val="24"/>
              </w:rPr>
            </w:pPr>
            <w:r>
              <w:rPr>
                <w:rFonts w:hint="eastAsia" w:ascii="宋体" w:hAnsi="宋体" w:eastAsia="宋体" w:cs="宋体"/>
                <w:sz w:val="24"/>
                <w:szCs w:val="24"/>
              </w:rPr>
              <w:t>7</w:t>
            </w:r>
          </w:p>
        </w:tc>
        <w:tc>
          <w:tcPr>
            <w:tcW w:w="2917" w:type="dxa"/>
            <w:shd w:val="clear" w:color="auto" w:fill="auto"/>
            <w:vAlign w:val="center"/>
          </w:tcPr>
          <w:p w14:paraId="0C69EBE0">
            <w:pPr>
              <w:spacing w:before="0" w:after="0"/>
              <w:jc w:val="center"/>
              <w:rPr>
                <w:rFonts w:hint="eastAsia" w:ascii="宋体" w:hAnsi="宋体" w:eastAsia="宋体" w:cs="宋体"/>
                <w:sz w:val="24"/>
                <w:szCs w:val="24"/>
                <w:lang w:val="ru-RU" w:eastAsia="zh-CN" w:bidi="ar-SA"/>
              </w:rPr>
            </w:pPr>
            <w:r>
              <w:rPr>
                <w:rFonts w:hint="eastAsia" w:ascii="宋体" w:hAnsi="宋体" w:eastAsia="宋体" w:cs="宋体"/>
                <w:color w:val="auto"/>
                <w:sz w:val="24"/>
                <w:szCs w:val="24"/>
              </w:rPr>
              <w:t>响应函</w:t>
            </w:r>
          </w:p>
        </w:tc>
        <w:tc>
          <w:tcPr>
            <w:tcW w:w="4926" w:type="dxa"/>
            <w:shd w:val="clear" w:color="auto" w:fill="auto"/>
            <w:vAlign w:val="center"/>
          </w:tcPr>
          <w:p w14:paraId="1CEE0925">
            <w:pPr>
              <w:spacing w:before="0" w:after="0"/>
              <w:jc w:val="center"/>
              <w:rPr>
                <w:rFonts w:hint="eastAsia" w:ascii="宋体" w:hAnsi="宋体" w:eastAsia="宋体" w:cs="宋体"/>
                <w:sz w:val="24"/>
                <w:szCs w:val="24"/>
                <w:lang w:val="ru-RU" w:eastAsia="zh-CN" w:bidi="ar-SA"/>
              </w:rPr>
            </w:pPr>
            <w:r>
              <w:rPr>
                <w:rFonts w:hint="eastAsia" w:ascii="宋体" w:hAnsi="宋体" w:eastAsia="宋体" w:cs="宋体"/>
                <w:sz w:val="24"/>
                <w:szCs w:val="24"/>
              </w:rPr>
              <w:t>采用</w:t>
            </w:r>
            <w:r>
              <w:rPr>
                <w:rFonts w:hint="eastAsia" w:ascii="宋体" w:hAnsi="宋体" w:eastAsia="宋体" w:cs="宋体"/>
                <w:sz w:val="24"/>
                <w:szCs w:val="24"/>
                <w:lang w:val="en-US"/>
              </w:rPr>
              <w:t>第七章</w:t>
            </w:r>
            <w:r>
              <w:rPr>
                <w:rFonts w:hint="eastAsia" w:ascii="宋体" w:hAnsi="宋体" w:eastAsia="宋体" w:cs="宋体"/>
                <w:sz w:val="24"/>
                <w:szCs w:val="24"/>
              </w:rPr>
              <w:t>给定格式，填写、签字、盖章完整。</w:t>
            </w:r>
          </w:p>
        </w:tc>
      </w:tr>
      <w:tr w14:paraId="4416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2112CAB7">
            <w:pPr>
              <w:spacing w:before="0" w:after="0"/>
              <w:jc w:val="center"/>
              <w:rPr>
                <w:rFonts w:hint="eastAsia" w:ascii="宋体" w:hAnsi="宋体" w:eastAsia="宋体" w:cs="宋体"/>
                <w:sz w:val="24"/>
                <w:szCs w:val="24"/>
              </w:rPr>
            </w:pPr>
            <w:r>
              <w:rPr>
                <w:rFonts w:hint="eastAsia" w:ascii="宋体" w:hAnsi="宋体" w:eastAsia="宋体" w:cs="宋体"/>
                <w:sz w:val="24"/>
                <w:szCs w:val="24"/>
              </w:rPr>
              <w:t>8</w:t>
            </w:r>
          </w:p>
        </w:tc>
        <w:tc>
          <w:tcPr>
            <w:tcW w:w="2917" w:type="dxa"/>
            <w:shd w:val="clear" w:color="auto" w:fill="auto"/>
            <w:vAlign w:val="center"/>
          </w:tcPr>
          <w:p w14:paraId="576CBE5C">
            <w:pPr>
              <w:spacing w:before="0" w:after="0"/>
              <w:jc w:val="center"/>
              <w:rPr>
                <w:rFonts w:hint="eastAsia" w:ascii="宋体" w:hAnsi="宋体" w:eastAsia="宋体" w:cs="宋体"/>
                <w:sz w:val="24"/>
                <w:szCs w:val="24"/>
                <w:lang w:val="ru-RU" w:eastAsia="zh-CN" w:bidi="ar-SA"/>
              </w:rPr>
            </w:pPr>
            <w:r>
              <w:rPr>
                <w:rFonts w:hint="eastAsia" w:ascii="宋体" w:hAnsi="宋体" w:eastAsia="宋体" w:cs="宋体"/>
                <w:sz w:val="24"/>
                <w:szCs w:val="24"/>
              </w:rPr>
              <w:t>报价表</w:t>
            </w:r>
          </w:p>
        </w:tc>
        <w:tc>
          <w:tcPr>
            <w:tcW w:w="4926" w:type="dxa"/>
            <w:shd w:val="clear" w:color="auto" w:fill="auto"/>
            <w:vAlign w:val="center"/>
          </w:tcPr>
          <w:p w14:paraId="51F4865B">
            <w:pPr>
              <w:spacing w:before="0" w:after="0"/>
              <w:jc w:val="center"/>
              <w:rPr>
                <w:rFonts w:hint="eastAsia" w:ascii="宋体" w:hAnsi="宋体" w:eastAsia="宋体" w:cs="宋体"/>
                <w:sz w:val="24"/>
                <w:szCs w:val="24"/>
                <w:lang w:val="ru-RU" w:eastAsia="zh-CN" w:bidi="ar-SA"/>
              </w:rPr>
            </w:pPr>
            <w:r>
              <w:rPr>
                <w:rFonts w:hint="eastAsia" w:ascii="宋体" w:hAnsi="宋体" w:eastAsia="宋体" w:cs="宋体"/>
                <w:sz w:val="24"/>
                <w:szCs w:val="24"/>
              </w:rPr>
              <w:t>采用</w:t>
            </w:r>
            <w:r>
              <w:rPr>
                <w:rFonts w:hint="eastAsia" w:ascii="宋体" w:hAnsi="宋体" w:eastAsia="宋体" w:cs="宋体"/>
                <w:sz w:val="24"/>
                <w:szCs w:val="24"/>
                <w:lang w:val="en-US"/>
              </w:rPr>
              <w:t>第七章</w:t>
            </w:r>
            <w:r>
              <w:rPr>
                <w:rFonts w:hint="eastAsia" w:ascii="宋体" w:hAnsi="宋体" w:eastAsia="宋体" w:cs="宋体"/>
                <w:sz w:val="24"/>
                <w:szCs w:val="24"/>
              </w:rPr>
              <w:t>给定格式，填写、签字、盖章完整。</w:t>
            </w:r>
          </w:p>
        </w:tc>
      </w:tr>
      <w:tr w14:paraId="1CEC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97" w:type="dxa"/>
            <w:vAlign w:val="center"/>
          </w:tcPr>
          <w:p w14:paraId="6C677D72">
            <w:pPr>
              <w:spacing w:before="0" w:after="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917" w:type="dxa"/>
            <w:shd w:val="clear" w:color="auto" w:fill="auto"/>
            <w:vAlign w:val="center"/>
          </w:tcPr>
          <w:p w14:paraId="76E8C261">
            <w:pPr>
              <w:spacing w:before="0" w:after="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rPr>
              <w:t>业绩证明文件</w:t>
            </w:r>
          </w:p>
        </w:tc>
        <w:tc>
          <w:tcPr>
            <w:tcW w:w="4926" w:type="dxa"/>
            <w:shd w:val="clear" w:color="auto" w:fill="auto"/>
            <w:vAlign w:val="center"/>
          </w:tcPr>
          <w:p w14:paraId="1F6048A6">
            <w:pPr>
              <w:spacing w:before="0" w:after="0"/>
              <w:jc w:val="left"/>
              <w:rPr>
                <w:rFonts w:hint="eastAsia" w:ascii="宋体" w:hAnsi="宋体" w:eastAsia="宋体" w:cs="宋体"/>
                <w:sz w:val="24"/>
                <w:szCs w:val="24"/>
                <w:lang w:val="ru-RU" w:eastAsia="zh-CN" w:bidi="ar-SA"/>
              </w:rPr>
            </w:pPr>
            <w:r>
              <w:rPr>
                <w:rFonts w:hint="eastAsia" w:ascii="宋体" w:hAnsi="宋体" w:eastAsia="宋体" w:cs="宋体"/>
                <w:sz w:val="24"/>
                <w:szCs w:val="24"/>
                <w:lang w:val="en-US" w:eastAsia="zh-CN"/>
              </w:rPr>
              <w:t>须提供17万元及以上的电梯销售相关合同业绩。 （合同扫描件须至少包含合同签订双方盖章页、合同签订时间和业绩要求中的关键信息页）</w:t>
            </w:r>
          </w:p>
        </w:tc>
      </w:tr>
      <w:tr w14:paraId="502C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7" w:type="dxa"/>
            <w:vAlign w:val="center"/>
          </w:tcPr>
          <w:p w14:paraId="2ECC2938">
            <w:pPr>
              <w:spacing w:before="0" w:after="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rPr>
              <w:t>1</w:t>
            </w:r>
            <w:r>
              <w:rPr>
                <w:rFonts w:hint="eastAsia" w:ascii="宋体" w:hAnsi="宋体" w:eastAsia="宋体" w:cs="宋体"/>
                <w:sz w:val="24"/>
                <w:szCs w:val="24"/>
                <w:lang w:val="en-US" w:eastAsia="zh-CN"/>
              </w:rPr>
              <w:t>0</w:t>
            </w:r>
          </w:p>
        </w:tc>
        <w:tc>
          <w:tcPr>
            <w:tcW w:w="2917" w:type="dxa"/>
            <w:shd w:val="clear" w:color="auto" w:fill="auto"/>
            <w:vAlign w:val="center"/>
          </w:tcPr>
          <w:p w14:paraId="61D53900">
            <w:pPr>
              <w:spacing w:before="0" w:after="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rPr>
              <w:t>质量承诺书</w:t>
            </w:r>
          </w:p>
        </w:tc>
        <w:tc>
          <w:tcPr>
            <w:tcW w:w="4926" w:type="dxa"/>
            <w:shd w:val="clear" w:color="auto" w:fill="auto"/>
            <w:vAlign w:val="center"/>
          </w:tcPr>
          <w:p w14:paraId="46B2570C">
            <w:pPr>
              <w:spacing w:before="0" w:after="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rPr>
              <w:t>采用附件给定格式，填写、盖章完整。</w:t>
            </w:r>
          </w:p>
        </w:tc>
      </w:tr>
      <w:tr w14:paraId="2B14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7" w:type="dxa"/>
            <w:vAlign w:val="center"/>
          </w:tcPr>
          <w:p w14:paraId="3463A055">
            <w:pPr>
              <w:spacing w:before="0" w:after="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2917" w:type="dxa"/>
            <w:shd w:val="clear" w:color="auto" w:fill="auto"/>
            <w:vAlign w:val="center"/>
          </w:tcPr>
          <w:p w14:paraId="2DB62390">
            <w:pPr>
              <w:spacing w:before="0" w:after="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响应保证金</w:t>
            </w:r>
          </w:p>
        </w:tc>
        <w:tc>
          <w:tcPr>
            <w:tcW w:w="4926" w:type="dxa"/>
            <w:shd w:val="clear" w:color="auto" w:fill="auto"/>
            <w:vAlign w:val="center"/>
          </w:tcPr>
          <w:p w14:paraId="73B026B3">
            <w:pPr>
              <w:spacing w:before="0" w:after="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银行转账回执单或保函。</w:t>
            </w:r>
          </w:p>
        </w:tc>
      </w:tr>
    </w:tbl>
    <w:p w14:paraId="2E5608F3">
      <w:pPr>
        <w:spacing w:before="0" w:after="0" w:line="480" w:lineRule="exact"/>
        <w:ind w:firstLine="480" w:firstLineChars="200"/>
        <w:rPr>
          <w:sz w:val="24"/>
        </w:rPr>
      </w:pPr>
      <w:r>
        <w:rPr>
          <w:sz w:val="24"/>
        </w:rPr>
        <w:t>以上项目需全部符合要求，否则</w:t>
      </w:r>
      <w:r>
        <w:rPr>
          <w:rFonts w:hint="eastAsia"/>
          <w:sz w:val="24"/>
          <w:lang w:val="en-US"/>
        </w:rPr>
        <w:t>响应</w:t>
      </w:r>
      <w:r>
        <w:rPr>
          <w:sz w:val="24"/>
        </w:rPr>
        <w:t>文件无效。</w:t>
      </w:r>
    </w:p>
    <w:p w14:paraId="64B40C29">
      <w:pPr>
        <w:spacing w:before="0" w:after="0" w:line="480" w:lineRule="exact"/>
        <w:ind w:firstLine="480" w:firstLineChars="200"/>
        <w:rPr>
          <w:sz w:val="24"/>
          <w:lang w:val="en-US"/>
        </w:rPr>
      </w:pPr>
      <w:r>
        <w:rPr>
          <w:sz w:val="24"/>
          <w:lang w:val="en-US"/>
        </w:rPr>
        <w:t>注：</w:t>
      </w:r>
      <w:r>
        <w:rPr>
          <w:rFonts w:hint="eastAsia" w:ascii="宋体" w:hAnsi="宋体" w:eastAsia="宋体" w:cs="宋体"/>
          <w:sz w:val="24"/>
          <w:szCs w:val="24"/>
          <w:lang w:val="en-US"/>
        </w:rPr>
        <w:t>（1）业绩证明文件：提供关键页，即甲乙方名称、项目名称、合同总金额、合同签订时间、合同服务范围、项目经理页（如要求）、合同签字盖章页等关键内容的关键页的扫描件并</w:t>
      </w:r>
      <w:r>
        <w:rPr>
          <w:rFonts w:hint="eastAsia" w:ascii="宋体" w:hAnsi="宋体" w:eastAsia="宋体" w:cs="宋体"/>
          <w:sz w:val="24"/>
          <w:szCs w:val="24"/>
        </w:rPr>
        <w:t>加盖公章。</w:t>
      </w:r>
    </w:p>
    <w:p w14:paraId="072E5FBA">
      <w:pPr>
        <w:spacing w:before="0" w:after="0" w:line="480" w:lineRule="exact"/>
        <w:ind w:firstLine="480" w:firstLineChars="200"/>
        <w:rPr>
          <w:sz w:val="24"/>
          <w:lang w:val="en-US"/>
        </w:rPr>
      </w:pPr>
      <w:r>
        <w:rPr>
          <w:rFonts w:hint="eastAsia"/>
          <w:sz w:val="24"/>
          <w:lang w:val="en-US"/>
        </w:rPr>
        <w:t>（2）</w:t>
      </w:r>
      <w:r>
        <w:rPr>
          <w:sz w:val="24"/>
          <w:lang w:val="en-US"/>
        </w:rPr>
        <w:t>符合性评审要求提供所有资料（如</w:t>
      </w:r>
      <w:r>
        <w:rPr>
          <w:rFonts w:hint="eastAsia" w:asciiTheme="minorEastAsia" w:hAnsiTheme="minorEastAsia" w:eastAsiaTheme="minorEastAsia" w:cstheme="minorEastAsia"/>
          <w:color w:val="221E1F"/>
          <w:spacing w:val="0"/>
          <w:sz w:val="24"/>
          <w:szCs w:val="24"/>
          <w:u w:val="none"/>
          <w:lang w:val="ru-RU" w:eastAsia="zh-CN"/>
        </w:rPr>
        <w:t>具有独立法人资格</w:t>
      </w:r>
      <w:r>
        <w:rPr>
          <w:rFonts w:hint="eastAsia" w:asciiTheme="minorEastAsia" w:hAnsiTheme="minorEastAsia" w:cstheme="minorEastAsia"/>
          <w:color w:val="221E1F"/>
          <w:spacing w:val="0"/>
          <w:sz w:val="24"/>
          <w:szCs w:val="24"/>
          <w:u w:val="none"/>
          <w:lang w:val="ru-RU" w:eastAsia="zh-CN"/>
        </w:rPr>
        <w:t>，</w:t>
      </w:r>
      <w:r>
        <w:rPr>
          <w:rFonts w:hint="eastAsia" w:asciiTheme="minorEastAsia" w:hAnsiTheme="minorEastAsia" w:eastAsiaTheme="minorEastAsia" w:cstheme="minorEastAsia"/>
          <w:color w:val="221E1F"/>
          <w:spacing w:val="0"/>
          <w:sz w:val="24"/>
          <w:szCs w:val="24"/>
          <w:u w:val="none"/>
          <w:lang w:val="ru-RU" w:eastAsia="zh-CN"/>
        </w:rPr>
        <w:t>具有效的营业执照</w:t>
      </w:r>
      <w:r>
        <w:rPr>
          <w:sz w:val="24"/>
          <w:lang w:val="en-US"/>
        </w:rPr>
        <w:t>等），所有文件内容须清晰可辨；任何文件的关键内容模糊无法辨认，无论涉及何种材料，均将导致其文件被否决。</w:t>
      </w:r>
    </w:p>
    <w:p w14:paraId="79D3CC14">
      <w:pPr>
        <w:tabs>
          <w:tab w:val="left" w:pos="1155"/>
        </w:tabs>
        <w:spacing w:line="360" w:lineRule="auto"/>
        <w:ind w:firstLine="482" w:firstLineChars="200"/>
        <w:jc w:val="left"/>
        <w:rPr>
          <w:rFonts w:hint="eastAsia" w:ascii="宋体" w:hAnsi="宋体"/>
          <w:b/>
          <w:bCs/>
          <w:sz w:val="24"/>
        </w:rPr>
      </w:pPr>
      <w:r>
        <w:rPr>
          <w:rFonts w:hint="eastAsia" w:ascii="宋体" w:hAnsi="宋体"/>
          <w:b/>
          <w:bCs/>
          <w:sz w:val="24"/>
          <w:lang w:val="en-US"/>
        </w:rPr>
        <w:t>符合性</w:t>
      </w:r>
      <w:r>
        <w:rPr>
          <w:rFonts w:hint="eastAsia" w:ascii="宋体" w:hAnsi="宋体"/>
          <w:b/>
          <w:bCs/>
          <w:sz w:val="24"/>
        </w:rPr>
        <w:t>评审如发现下列情况之一的，其投标将被拒绝，不再进入详细评审：</w:t>
      </w:r>
    </w:p>
    <w:p w14:paraId="286EF902">
      <w:pPr>
        <w:tabs>
          <w:tab w:val="left" w:pos="1155"/>
        </w:tabs>
        <w:spacing w:line="360" w:lineRule="auto"/>
        <w:ind w:firstLine="480" w:firstLineChars="200"/>
        <w:jc w:val="left"/>
        <w:rPr>
          <w:rFonts w:hint="eastAsia" w:ascii="宋体" w:hAnsi="宋体"/>
          <w:sz w:val="24"/>
        </w:rPr>
      </w:pPr>
      <w:r>
        <w:rPr>
          <w:rFonts w:hint="eastAsia" w:ascii="宋体" w:hAnsi="宋体"/>
          <w:sz w:val="24"/>
        </w:rPr>
        <w:t>（1）供应商未提交评审保证金或金额不足，或评审保证金形式不符合评审文件要求的；</w:t>
      </w:r>
    </w:p>
    <w:p w14:paraId="221ED22B">
      <w:pPr>
        <w:tabs>
          <w:tab w:val="left" w:pos="1155"/>
        </w:tabs>
        <w:spacing w:line="360" w:lineRule="auto"/>
        <w:ind w:firstLine="480" w:firstLineChars="200"/>
        <w:jc w:val="left"/>
        <w:rPr>
          <w:rFonts w:hint="eastAsia" w:ascii="宋体" w:hAnsi="宋体"/>
          <w:sz w:val="24"/>
        </w:rPr>
      </w:pPr>
      <w:r>
        <w:rPr>
          <w:rFonts w:hint="eastAsia" w:ascii="宋体" w:hAnsi="宋体"/>
          <w:sz w:val="24"/>
        </w:rPr>
        <w:t>（</w:t>
      </w:r>
      <w:r>
        <w:rPr>
          <w:rFonts w:hint="eastAsia" w:ascii="宋体" w:hAnsi="宋体"/>
          <w:sz w:val="24"/>
          <w:lang w:val="en-US"/>
        </w:rPr>
        <w:t>2</w:t>
      </w:r>
      <w:r>
        <w:rPr>
          <w:rFonts w:hint="eastAsia" w:ascii="宋体" w:hAnsi="宋体"/>
          <w:sz w:val="24"/>
        </w:rPr>
        <w:t>）资格不符合评审文件要求的；</w:t>
      </w:r>
    </w:p>
    <w:p w14:paraId="26C74DBA">
      <w:pPr>
        <w:tabs>
          <w:tab w:val="left" w:pos="1155"/>
        </w:tabs>
        <w:spacing w:line="360" w:lineRule="auto"/>
        <w:ind w:firstLine="480" w:firstLineChars="200"/>
        <w:jc w:val="left"/>
        <w:rPr>
          <w:rFonts w:hint="eastAsia" w:ascii="宋体" w:hAnsi="宋体"/>
          <w:sz w:val="24"/>
        </w:rPr>
      </w:pPr>
      <w:r>
        <w:rPr>
          <w:rFonts w:hint="eastAsia" w:ascii="宋体" w:hAnsi="宋体"/>
          <w:sz w:val="24"/>
        </w:rPr>
        <w:t>（</w:t>
      </w:r>
      <w:r>
        <w:rPr>
          <w:rFonts w:hint="eastAsia" w:ascii="宋体" w:hAnsi="宋体"/>
          <w:sz w:val="24"/>
          <w:lang w:val="en-US"/>
        </w:rPr>
        <w:t>3</w:t>
      </w:r>
      <w:r>
        <w:rPr>
          <w:rFonts w:hint="eastAsia" w:ascii="宋体" w:hAnsi="宋体"/>
          <w:sz w:val="24"/>
        </w:rPr>
        <w:t>）响应文件附有采购人不能接受的条件；</w:t>
      </w:r>
    </w:p>
    <w:p w14:paraId="1FD78CC8">
      <w:pPr>
        <w:tabs>
          <w:tab w:val="left" w:pos="1155"/>
        </w:tabs>
        <w:spacing w:line="360" w:lineRule="auto"/>
        <w:ind w:firstLine="480" w:firstLineChars="200"/>
        <w:jc w:val="left"/>
        <w:rPr>
          <w:rFonts w:hint="eastAsia" w:ascii="宋体" w:hAnsi="宋体"/>
          <w:sz w:val="24"/>
        </w:rPr>
      </w:pPr>
      <w:r>
        <w:rPr>
          <w:rFonts w:hint="eastAsia" w:ascii="宋体" w:hAnsi="宋体"/>
          <w:sz w:val="24"/>
        </w:rPr>
        <w:t>（</w:t>
      </w:r>
      <w:r>
        <w:rPr>
          <w:rFonts w:hint="eastAsia" w:ascii="宋体" w:hAnsi="宋体"/>
          <w:sz w:val="24"/>
          <w:lang w:val="en-US"/>
        </w:rPr>
        <w:t>4</w:t>
      </w:r>
      <w:r>
        <w:rPr>
          <w:rFonts w:hint="eastAsia" w:ascii="宋体" w:hAnsi="宋体"/>
          <w:sz w:val="24"/>
        </w:rPr>
        <w:t>）不符合评审文件中规定的其它实质性要求；</w:t>
      </w:r>
    </w:p>
    <w:p w14:paraId="57EDE3CE">
      <w:pPr>
        <w:tabs>
          <w:tab w:val="left" w:pos="1155"/>
        </w:tabs>
        <w:spacing w:line="360" w:lineRule="auto"/>
        <w:ind w:firstLine="480" w:firstLineChars="200"/>
        <w:jc w:val="left"/>
        <w:rPr>
          <w:rFonts w:hint="eastAsia" w:ascii="宋体" w:hAnsi="宋体"/>
          <w:sz w:val="24"/>
        </w:rPr>
      </w:pPr>
      <w:r>
        <w:rPr>
          <w:rFonts w:hint="eastAsia" w:ascii="宋体" w:hAnsi="宋体"/>
          <w:sz w:val="24"/>
        </w:rPr>
        <w:t>（</w:t>
      </w:r>
      <w:r>
        <w:rPr>
          <w:rFonts w:hint="eastAsia" w:ascii="宋体" w:hAnsi="宋体"/>
          <w:sz w:val="24"/>
          <w:lang w:val="en-US"/>
        </w:rPr>
        <w:t>5</w:t>
      </w:r>
      <w:r>
        <w:rPr>
          <w:rFonts w:hint="eastAsia" w:ascii="宋体" w:hAnsi="宋体"/>
          <w:sz w:val="24"/>
        </w:rPr>
        <w:t>）在评标过程中，评审小组发现供应商以他人名义投标、串通投标、以行贿手段谋取成交或者以其它弄虚作假方式投标的；</w:t>
      </w:r>
    </w:p>
    <w:p w14:paraId="7F52532F">
      <w:pPr>
        <w:tabs>
          <w:tab w:val="left" w:pos="1155"/>
        </w:tabs>
        <w:spacing w:line="360" w:lineRule="auto"/>
        <w:ind w:firstLine="480" w:firstLineChars="200"/>
        <w:jc w:val="left"/>
        <w:rPr>
          <w:rFonts w:hint="eastAsia" w:ascii="宋体" w:hAnsi="宋体"/>
          <w:sz w:val="24"/>
        </w:rPr>
      </w:pPr>
      <w:r>
        <w:rPr>
          <w:rFonts w:hint="eastAsia" w:ascii="宋体" w:hAnsi="宋体"/>
          <w:sz w:val="24"/>
        </w:rPr>
        <w:t>（</w:t>
      </w:r>
      <w:r>
        <w:rPr>
          <w:rFonts w:hint="eastAsia" w:ascii="宋体" w:hAnsi="宋体"/>
          <w:sz w:val="24"/>
          <w:lang w:val="en-US"/>
        </w:rPr>
        <w:t>6</w:t>
      </w:r>
      <w:r>
        <w:rPr>
          <w:rFonts w:hint="eastAsia" w:ascii="宋体" w:hAnsi="宋体"/>
          <w:sz w:val="24"/>
        </w:rPr>
        <w:t>）不符合其他法律、法规及评审文件规定的。</w:t>
      </w:r>
    </w:p>
    <w:p w14:paraId="66BBFC19">
      <w:pPr>
        <w:spacing w:before="0" w:after="0" w:line="560" w:lineRule="exact"/>
        <w:outlineLvl w:val="1"/>
        <w:rPr>
          <w:rFonts w:hint="eastAsia" w:asciiTheme="minorEastAsia" w:hAnsiTheme="minorEastAsia" w:cstheme="minorEastAsia"/>
          <w:b/>
          <w:bCs/>
          <w:color w:val="000000" w:themeColor="text1"/>
          <w:sz w:val="24"/>
          <w:szCs w:val="24"/>
          <w:lang w:val="en-US"/>
          <w14:textFill>
            <w14:solidFill>
              <w14:schemeClr w14:val="tx1"/>
            </w14:solidFill>
          </w14:textFill>
        </w:rPr>
      </w:pPr>
      <w:bookmarkStart w:id="111" w:name="_Toc1781"/>
      <w:r>
        <w:rPr>
          <w:rFonts w:hint="eastAsia" w:asciiTheme="minorEastAsia" w:hAnsiTheme="minorEastAsia" w:cstheme="minorEastAsia"/>
          <w:b/>
          <w:bCs/>
          <w:color w:val="000000" w:themeColor="text1"/>
          <w:sz w:val="24"/>
          <w:szCs w:val="24"/>
          <w:lang w:val="en-US"/>
          <w14:textFill>
            <w14:solidFill>
              <w14:schemeClr w14:val="tx1"/>
            </w14:solidFill>
          </w14:textFill>
        </w:rPr>
        <w:t>2.详细评审</w:t>
      </w:r>
      <w:bookmarkEnd w:id="111"/>
    </w:p>
    <w:p w14:paraId="36C28544">
      <w:pPr>
        <w:tabs>
          <w:tab w:val="left" w:pos="1155"/>
        </w:tabs>
        <w:spacing w:line="360" w:lineRule="auto"/>
        <w:ind w:firstLine="480" w:firstLineChars="200"/>
        <w:jc w:val="left"/>
        <w:rPr>
          <w:rFonts w:hint="eastAsia" w:ascii="宋体" w:hAnsi="宋体"/>
          <w:sz w:val="24"/>
        </w:rPr>
      </w:pPr>
      <w:r>
        <w:rPr>
          <w:rFonts w:hint="eastAsia" w:ascii="宋体" w:hAnsi="宋体"/>
          <w:sz w:val="24"/>
        </w:rPr>
        <w:t>初步评审合格的响应文件，评审小组才对其响应文件做进一步评审、比较。</w:t>
      </w:r>
    </w:p>
    <w:p w14:paraId="45DEB596">
      <w:pPr>
        <w:tabs>
          <w:tab w:val="left" w:pos="1155"/>
        </w:tabs>
        <w:spacing w:line="360" w:lineRule="auto"/>
        <w:ind w:firstLine="480" w:firstLineChars="200"/>
        <w:jc w:val="left"/>
        <w:rPr>
          <w:rFonts w:hint="eastAsia" w:ascii="宋体" w:hAnsi="宋体"/>
          <w:b/>
          <w:bCs/>
          <w:sz w:val="24"/>
          <w:lang w:val="en-US"/>
        </w:rPr>
        <w:sectPr>
          <w:footerReference r:id="rId7" w:type="default"/>
          <w:pgSz w:w="11906" w:h="16838"/>
          <w:pgMar w:top="1134" w:right="1134" w:bottom="1134" w:left="1247" w:header="851" w:footer="992" w:gutter="0"/>
          <w:pgNumType w:fmt="decimal"/>
          <w:cols w:space="0" w:num="1"/>
          <w:docGrid w:type="lines" w:linePitch="317" w:charSpace="0"/>
        </w:sectPr>
      </w:pPr>
      <w:r>
        <w:rPr>
          <w:rFonts w:hint="eastAsia" w:ascii="宋体" w:hAnsi="宋体"/>
          <w:sz w:val="24"/>
        </w:rPr>
        <w:t>具体评分细则如下：</w:t>
      </w:r>
      <w:r>
        <w:rPr>
          <w:rFonts w:hint="eastAsia" w:ascii="宋体" w:hAnsi="宋体"/>
          <w:sz w:val="24"/>
          <w:lang w:val="en-US" w:eastAsia="zh-CN"/>
        </w:rPr>
        <w:t>符合性评审通过后，按照报价由低到高依次推荐2名成交候选人。如报价相同的，由评审小组表决决定候选人顺序。</w:t>
      </w:r>
    </w:p>
    <w:p w14:paraId="7F884C5B">
      <w:pPr>
        <w:tabs>
          <w:tab w:val="left" w:pos="1155"/>
        </w:tabs>
        <w:spacing w:line="360" w:lineRule="auto"/>
        <w:jc w:val="left"/>
        <w:rPr>
          <w:rFonts w:hint="eastAsia" w:ascii="宋体" w:hAnsi="宋体"/>
          <w:b/>
          <w:bCs/>
          <w:sz w:val="24"/>
        </w:rPr>
      </w:pPr>
      <w:r>
        <w:rPr>
          <w:rFonts w:hint="eastAsia" w:ascii="宋体" w:hAnsi="宋体"/>
          <w:b/>
          <w:bCs/>
          <w:sz w:val="24"/>
        </w:rPr>
        <w:t>2.</w:t>
      </w:r>
      <w:r>
        <w:rPr>
          <w:rFonts w:hint="eastAsia" w:ascii="宋体" w:hAnsi="宋体"/>
          <w:b/>
          <w:bCs/>
          <w:sz w:val="24"/>
          <w:lang w:val="en-US" w:eastAsia="zh-CN"/>
        </w:rPr>
        <w:t>1</w:t>
      </w:r>
      <w:r>
        <w:rPr>
          <w:rFonts w:hint="eastAsia" w:ascii="宋体" w:hAnsi="宋体"/>
          <w:b/>
          <w:bCs/>
          <w:sz w:val="24"/>
        </w:rPr>
        <w:t>响应报价部分评审标准：</w:t>
      </w:r>
    </w:p>
    <w:p w14:paraId="287FFF37">
      <w:pPr>
        <w:pStyle w:val="2"/>
        <w:tabs>
          <w:tab w:val="left" w:pos="1176"/>
        </w:tabs>
        <w:spacing w:after="0" w:line="360" w:lineRule="auto"/>
        <w:ind w:left="0" w:firstLine="480"/>
        <w:rPr>
          <w:rFonts w:hint="eastAsia" w:ascii="宋体" w:hAnsi="宋体" w:eastAsia="宋体"/>
          <w:sz w:val="24"/>
          <w:lang w:val="en-US"/>
        </w:rPr>
      </w:pPr>
      <w:r>
        <w:rPr>
          <w:rFonts w:hint="eastAsia" w:ascii="宋体" w:hAnsi="宋体"/>
          <w:sz w:val="24"/>
        </w:rPr>
        <w:t>本项目设</w:t>
      </w:r>
      <w:r>
        <w:rPr>
          <w:rFonts w:hint="eastAsia" w:ascii="宋体" w:hAnsi="宋体"/>
          <w:sz w:val="24"/>
          <w:lang w:val="en-US"/>
        </w:rPr>
        <w:t>最高控制价</w:t>
      </w:r>
      <w:r>
        <w:rPr>
          <w:rFonts w:hint="eastAsia" w:ascii="宋体" w:hAnsi="宋体"/>
          <w:sz w:val="24"/>
        </w:rPr>
        <w:t>，报价</w:t>
      </w:r>
      <w:r>
        <w:rPr>
          <w:rFonts w:hint="eastAsia" w:ascii="宋体" w:hAnsi="宋体"/>
          <w:sz w:val="24"/>
          <w:lang w:val="en-US"/>
        </w:rPr>
        <w:t>高于控制价</w:t>
      </w:r>
      <w:r>
        <w:rPr>
          <w:rFonts w:hint="eastAsia" w:ascii="宋体" w:hAnsi="宋体"/>
          <w:sz w:val="24"/>
        </w:rPr>
        <w:t>的，其</w:t>
      </w:r>
      <w:r>
        <w:rPr>
          <w:rFonts w:hint="eastAsia" w:ascii="宋体" w:hAnsi="宋体"/>
          <w:sz w:val="24"/>
          <w:lang w:val="en-US"/>
        </w:rPr>
        <w:t>评审</w:t>
      </w:r>
      <w:r>
        <w:rPr>
          <w:rFonts w:hint="eastAsia" w:ascii="宋体" w:hAnsi="宋体"/>
          <w:sz w:val="24"/>
        </w:rPr>
        <w:t>将被否决。通过初步评审且报价不</w:t>
      </w:r>
      <w:r>
        <w:rPr>
          <w:rFonts w:hint="eastAsia" w:ascii="宋体" w:hAnsi="宋体"/>
          <w:sz w:val="24"/>
          <w:lang w:val="en-US"/>
        </w:rPr>
        <w:t>高</w:t>
      </w:r>
      <w:r>
        <w:rPr>
          <w:rFonts w:hint="eastAsia" w:ascii="宋体" w:hAnsi="宋体"/>
          <w:sz w:val="24"/>
        </w:rPr>
        <w:t>于</w:t>
      </w:r>
      <w:r>
        <w:rPr>
          <w:rFonts w:hint="eastAsia" w:ascii="宋体" w:hAnsi="宋体"/>
          <w:sz w:val="24"/>
          <w:lang w:val="en-US"/>
        </w:rPr>
        <w:t>控制价的</w:t>
      </w:r>
      <w:r>
        <w:rPr>
          <w:rFonts w:hint="eastAsia" w:ascii="宋体" w:hAnsi="宋体"/>
          <w:sz w:val="24"/>
        </w:rPr>
        <w:t>为有效响应报价。</w:t>
      </w:r>
    </w:p>
    <w:p w14:paraId="40234DC9">
      <w:pPr>
        <w:keepNext w:val="0"/>
        <w:keepLines w:val="0"/>
        <w:pageBreakBefore w:val="0"/>
        <w:widowControl/>
        <w:kinsoku/>
        <w:wordWrap/>
        <w:overflowPunct/>
        <w:topLinePunct w:val="0"/>
        <w:autoSpaceDE/>
        <w:autoSpaceDN/>
        <w:bidi w:val="0"/>
        <w:adjustRightInd/>
        <w:snapToGrid/>
        <w:spacing w:before="0" w:after="0" w:line="560" w:lineRule="exact"/>
        <w:ind w:firstLine="482" w:firstLineChars="200"/>
        <w:textAlignment w:val="auto"/>
        <w:rPr>
          <w:rFonts w:hint="eastAsia" w:eastAsia="宋体" w:asciiTheme="minorAscii" w:hAnsiTheme="minorAscii"/>
          <w:b/>
          <w:bCs/>
          <w:color w:val="auto"/>
          <w:sz w:val="24"/>
          <w:highlight w:val="none"/>
          <w:lang w:val="en-US" w:eastAsia="zh-CN"/>
        </w:rPr>
      </w:pPr>
      <w:r>
        <w:rPr>
          <w:rFonts w:hint="eastAsia" w:eastAsia="宋体" w:asciiTheme="minorAscii" w:hAnsiTheme="minorAscii"/>
          <w:b/>
          <w:bCs/>
          <w:color w:val="auto"/>
          <w:sz w:val="24"/>
          <w:highlight w:val="none"/>
          <w:lang w:val="en-US" w:eastAsia="zh-CN"/>
        </w:rPr>
        <w:t>经评审最低价法：</w:t>
      </w:r>
    </w:p>
    <w:p w14:paraId="0D3DDDDC">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default" w:eastAsia="宋体" w:asciiTheme="minorAscii" w:hAnsiTheme="minorAscii"/>
          <w:color w:val="auto"/>
          <w:sz w:val="24"/>
          <w:highlight w:val="none"/>
          <w:lang w:val="en-US" w:eastAsia="zh-CN"/>
        </w:rPr>
      </w:pPr>
      <w:r>
        <w:rPr>
          <w:rFonts w:hint="default" w:eastAsia="宋体" w:asciiTheme="minorAscii" w:hAnsiTheme="minorAscii"/>
          <w:color w:val="auto"/>
          <w:sz w:val="24"/>
          <w:highlight w:val="none"/>
          <w:lang w:val="en-US" w:eastAsia="zh-CN"/>
        </w:rPr>
        <w:t>本次评审采用有效最低价评审法。即评审小组按照响应报价由低到高依次进行供应商响应文件进行评审，评审均通过的即为成交候选人。对评审均通过的供应商，按照报价由低到高依次推荐</w:t>
      </w:r>
      <w:r>
        <w:rPr>
          <w:rFonts w:hint="eastAsia" w:eastAsia="宋体" w:asciiTheme="minorAscii" w:hAnsiTheme="minorAscii"/>
          <w:color w:val="auto"/>
          <w:sz w:val="24"/>
          <w:highlight w:val="none"/>
          <w:lang w:val="en-US" w:eastAsia="zh-CN"/>
        </w:rPr>
        <w:t>2</w:t>
      </w:r>
      <w:r>
        <w:rPr>
          <w:rFonts w:hint="default" w:eastAsia="宋体" w:asciiTheme="minorAscii" w:hAnsiTheme="minorAscii"/>
          <w:color w:val="auto"/>
          <w:sz w:val="24"/>
          <w:highlight w:val="none"/>
          <w:lang w:val="en-US" w:eastAsia="zh-CN"/>
        </w:rPr>
        <w:t>名成交候选人。如报价相同的，由评审小组表决决定候选人顺序。</w:t>
      </w:r>
    </w:p>
    <w:p w14:paraId="4FC40354">
      <w:pPr>
        <w:rPr>
          <w:rFonts w:hint="eastAsia" w:ascii="宋体" w:hAnsi="宋体"/>
          <w:sz w:val="24"/>
        </w:rPr>
      </w:pPr>
    </w:p>
    <w:p w14:paraId="25EFC0B8">
      <w:pPr>
        <w:rPr>
          <w:rFonts w:hint="eastAsia" w:ascii="宋体" w:hAnsi="宋体"/>
          <w:sz w:val="24"/>
        </w:rPr>
      </w:pPr>
      <w:r>
        <w:rPr>
          <w:rFonts w:hint="eastAsia" w:ascii="宋体" w:hAnsi="宋体"/>
          <w:sz w:val="24"/>
        </w:rPr>
        <w:br w:type="page"/>
      </w:r>
    </w:p>
    <w:p w14:paraId="017E0E78">
      <w:pPr>
        <w:pStyle w:val="13"/>
        <w:spacing w:after="120" w:line="480" w:lineRule="exact"/>
        <w:jc w:val="center"/>
        <w:outlineLvl w:val="0"/>
        <w:rPr>
          <w:rFonts w:hint="eastAsia" w:hAnsi="宋体" w:eastAsia="宋体" w:cs="宋体"/>
          <w:b/>
          <w:sz w:val="30"/>
          <w:szCs w:val="36"/>
          <w:lang w:val="en-US"/>
        </w:rPr>
      </w:pPr>
      <w:bookmarkStart w:id="112" w:name="_Toc14953"/>
      <w:bookmarkStart w:id="113" w:name="_Toc25927"/>
      <w:bookmarkStart w:id="114" w:name="_Toc7935"/>
      <w:r>
        <w:rPr>
          <w:rFonts w:hint="eastAsia" w:hAnsi="宋体" w:eastAsia="宋体" w:cs="宋体"/>
          <w:b/>
          <w:sz w:val="30"/>
          <w:szCs w:val="36"/>
          <w:lang w:val="en-US"/>
        </w:rPr>
        <w:t>五、</w:t>
      </w:r>
      <w:bookmarkEnd w:id="112"/>
      <w:r>
        <w:rPr>
          <w:rFonts w:hint="eastAsia" w:hAnsi="宋体" w:eastAsia="宋体" w:cs="宋体"/>
          <w:b/>
          <w:sz w:val="30"/>
          <w:szCs w:val="36"/>
          <w:lang w:val="en-US"/>
        </w:rPr>
        <w:t>确定成交候选人和成交人</w:t>
      </w:r>
      <w:bookmarkEnd w:id="113"/>
      <w:bookmarkEnd w:id="114"/>
    </w:p>
    <w:p w14:paraId="4F01A72A">
      <w:pPr>
        <w:spacing w:before="0" w:after="0" w:line="560" w:lineRule="exact"/>
        <w:ind w:firstLine="482" w:firstLineChars="200"/>
        <w:rPr>
          <w:rFonts w:eastAsia="宋体"/>
          <w:b/>
          <w:bCs/>
          <w:color w:val="auto"/>
          <w:sz w:val="24"/>
          <w:lang w:val="en-US"/>
        </w:rPr>
      </w:pPr>
      <w:r>
        <w:rPr>
          <w:rFonts w:hint="eastAsia" w:eastAsia="宋体"/>
          <w:b/>
          <w:bCs/>
          <w:color w:val="auto"/>
          <w:sz w:val="24"/>
          <w:lang w:val="en-US" w:eastAsia="zh-CN"/>
        </w:rPr>
        <w:t>经评审最低价法</w:t>
      </w:r>
      <w:r>
        <w:rPr>
          <w:rFonts w:hint="eastAsia" w:eastAsia="宋体"/>
          <w:b/>
          <w:bCs/>
          <w:color w:val="auto"/>
          <w:sz w:val="24"/>
          <w:lang w:val="en-US"/>
        </w:rPr>
        <w:t>：</w:t>
      </w:r>
    </w:p>
    <w:p w14:paraId="1BBF3DA6">
      <w:pPr>
        <w:spacing w:before="0" w:after="0" w:line="560" w:lineRule="exact"/>
        <w:ind w:firstLine="480" w:firstLineChars="200"/>
        <w:rPr>
          <w:rFonts w:eastAsia="宋体"/>
          <w:color w:val="auto"/>
          <w:sz w:val="24"/>
        </w:rPr>
      </w:pPr>
      <w:r>
        <w:rPr>
          <w:rFonts w:hint="eastAsia" w:eastAsia="宋体"/>
          <w:color w:val="auto"/>
          <w:sz w:val="24"/>
        </w:rPr>
        <w:t>（</w:t>
      </w:r>
      <w:r>
        <w:rPr>
          <w:rFonts w:hint="eastAsia" w:eastAsia="宋体"/>
          <w:color w:val="auto"/>
          <w:sz w:val="24"/>
          <w:lang w:val="en-US"/>
        </w:rPr>
        <w:t>一</w:t>
      </w:r>
      <w:r>
        <w:rPr>
          <w:rFonts w:hint="eastAsia" w:eastAsia="宋体"/>
          <w:color w:val="auto"/>
          <w:sz w:val="24"/>
        </w:rPr>
        <w:t>）成交候选人的确定</w:t>
      </w:r>
    </w:p>
    <w:p w14:paraId="37D2F90C">
      <w:pPr>
        <w:spacing w:before="0" w:after="0" w:line="560" w:lineRule="exact"/>
        <w:ind w:firstLine="480" w:firstLineChars="200"/>
        <w:rPr>
          <w:rFonts w:eastAsia="宋体"/>
          <w:color w:val="auto"/>
          <w:sz w:val="24"/>
        </w:rPr>
      </w:pPr>
      <w:r>
        <w:rPr>
          <w:rFonts w:hint="eastAsia" w:eastAsia="宋体"/>
          <w:color w:val="auto"/>
          <w:sz w:val="24"/>
          <w:lang w:val="en-US" w:eastAsia="zh-CN"/>
        </w:rPr>
        <w:t>1</w:t>
      </w:r>
      <w:r>
        <w:rPr>
          <w:rFonts w:hint="eastAsia" w:eastAsia="宋体"/>
          <w:color w:val="auto"/>
          <w:sz w:val="24"/>
        </w:rPr>
        <w:t>.</w:t>
      </w:r>
      <w:r>
        <w:rPr>
          <w:rFonts w:hint="default" w:eastAsia="宋体" w:asciiTheme="minorAscii" w:hAnsiTheme="minorAscii"/>
          <w:color w:val="auto"/>
          <w:sz w:val="24"/>
          <w:highlight w:val="none"/>
          <w:lang w:val="en-US" w:eastAsia="zh-CN"/>
        </w:rPr>
        <w:t>本次评审采用有效最低价评审法。即评审小组按照响应报价由低到高依次进行供应商响应文件进行评审，评审均通过的即为成交候选人。</w:t>
      </w:r>
      <w:r>
        <w:rPr>
          <w:rFonts w:hint="eastAsia" w:eastAsia="宋体"/>
          <w:color w:val="auto"/>
          <w:sz w:val="24"/>
        </w:rPr>
        <w:t>由</w:t>
      </w:r>
      <w:r>
        <w:rPr>
          <w:rFonts w:hint="eastAsia" w:eastAsia="宋体"/>
          <w:color w:val="auto"/>
          <w:sz w:val="24"/>
          <w:lang w:val="en-US"/>
        </w:rPr>
        <w:t>评审</w:t>
      </w:r>
      <w:r>
        <w:rPr>
          <w:rFonts w:hint="eastAsia" w:eastAsia="宋体"/>
          <w:color w:val="auto"/>
          <w:sz w:val="24"/>
        </w:rPr>
        <w:t>小组表决决定排序，</w:t>
      </w:r>
      <w:r>
        <w:rPr>
          <w:rFonts w:hint="eastAsia" w:eastAsia="宋体"/>
          <w:color w:val="auto"/>
          <w:sz w:val="24"/>
          <w:lang w:val="en-US"/>
        </w:rPr>
        <w:t>评审</w:t>
      </w:r>
      <w:r>
        <w:rPr>
          <w:rFonts w:hint="eastAsia" w:eastAsia="宋体"/>
          <w:color w:val="auto"/>
          <w:sz w:val="24"/>
        </w:rPr>
        <w:t>小组按照供应商排名顺序推荐</w:t>
      </w:r>
      <w:r>
        <w:rPr>
          <w:rFonts w:hint="eastAsia" w:eastAsia="宋体"/>
          <w:color w:val="auto"/>
          <w:sz w:val="24"/>
          <w:lang w:val="en-US" w:eastAsia="zh-CN"/>
        </w:rPr>
        <w:t>不超过2</w:t>
      </w:r>
      <w:r>
        <w:rPr>
          <w:rFonts w:hint="eastAsia" w:eastAsia="宋体"/>
          <w:color w:val="auto"/>
          <w:sz w:val="24"/>
        </w:rPr>
        <w:t>名成交候选人。</w:t>
      </w:r>
      <w:bookmarkStart w:id="137" w:name="_GoBack"/>
      <w:bookmarkEnd w:id="137"/>
    </w:p>
    <w:p w14:paraId="30A51BA2">
      <w:pPr>
        <w:spacing w:before="0" w:after="0" w:line="560" w:lineRule="exact"/>
        <w:ind w:firstLine="480" w:firstLineChars="200"/>
        <w:rPr>
          <w:rFonts w:eastAsia="宋体"/>
          <w:sz w:val="24"/>
        </w:rPr>
      </w:pPr>
      <w:r>
        <w:rPr>
          <w:rFonts w:hint="eastAsia" w:eastAsia="宋体"/>
          <w:sz w:val="24"/>
        </w:rPr>
        <w:t>（二）成交人的确定</w:t>
      </w:r>
    </w:p>
    <w:p w14:paraId="068F6951">
      <w:pPr>
        <w:spacing w:before="0" w:after="0" w:line="560" w:lineRule="exact"/>
        <w:ind w:firstLine="480" w:firstLineChars="200"/>
        <w:rPr>
          <w:rFonts w:eastAsia="宋体"/>
          <w:sz w:val="24"/>
        </w:rPr>
      </w:pPr>
      <w:r>
        <w:rPr>
          <w:rFonts w:hint="eastAsia" w:eastAsia="宋体"/>
          <w:sz w:val="24"/>
        </w:rPr>
        <w:t>根据</w:t>
      </w:r>
      <w:r>
        <w:rPr>
          <w:rFonts w:hint="eastAsia" w:eastAsia="宋体"/>
          <w:sz w:val="24"/>
          <w:lang w:val="en-US"/>
        </w:rPr>
        <w:t>评审</w:t>
      </w:r>
      <w:r>
        <w:rPr>
          <w:rFonts w:hint="eastAsia" w:eastAsia="宋体"/>
          <w:sz w:val="24"/>
        </w:rPr>
        <w:t>小组推荐的成交候选人名单，采购人依法确定排名第1名的成交候选人为成交人。但采购人发现供应商在</w:t>
      </w:r>
      <w:r>
        <w:rPr>
          <w:rFonts w:hint="eastAsia" w:eastAsia="宋体"/>
          <w:sz w:val="24"/>
          <w:lang w:val="en-US"/>
        </w:rPr>
        <w:t>询比</w:t>
      </w:r>
      <w:r>
        <w:rPr>
          <w:rFonts w:hint="eastAsia" w:eastAsia="宋体"/>
          <w:sz w:val="24"/>
        </w:rPr>
        <w:t>过程有弄虚作假行为、虚报资料情况，一经查实，立即取消其成交人资格，已签订合同的，将无条件立即终止合同，采购人将依法依次确定其他成交候选人为成交人。</w:t>
      </w:r>
    </w:p>
    <w:p w14:paraId="3474F8A2">
      <w:pPr>
        <w:spacing w:before="0" w:after="0" w:line="560" w:lineRule="exact"/>
        <w:ind w:firstLine="480" w:firstLineChars="200"/>
        <w:rPr>
          <w:rFonts w:eastAsia="宋体"/>
          <w:sz w:val="24"/>
        </w:rPr>
      </w:pPr>
      <w:r>
        <w:rPr>
          <w:rFonts w:hint="eastAsia" w:eastAsia="宋体"/>
          <w:sz w:val="24"/>
        </w:rPr>
        <w:t>若成交人放弃成交、因不可抗力不能履行合同、不按照</w:t>
      </w:r>
      <w:r>
        <w:rPr>
          <w:rFonts w:hint="eastAsia" w:eastAsia="宋体"/>
          <w:sz w:val="24"/>
          <w:lang w:val="en-US"/>
        </w:rPr>
        <w:t>询比</w:t>
      </w:r>
      <w:r>
        <w:rPr>
          <w:rFonts w:hint="eastAsia" w:eastAsia="宋体"/>
          <w:sz w:val="24"/>
        </w:rPr>
        <w:t>文件要求提交履约保证金，或者被查实存在影响成交结果的违法行为等情形，不符合成交条件的，影响到日常保供的，采购人可以重新</w:t>
      </w:r>
      <w:r>
        <w:rPr>
          <w:rFonts w:hint="eastAsia" w:eastAsia="宋体"/>
          <w:sz w:val="24"/>
          <w:lang w:val="en-US"/>
        </w:rPr>
        <w:t>询比</w:t>
      </w:r>
      <w:r>
        <w:rPr>
          <w:rFonts w:hint="eastAsia" w:eastAsia="宋体"/>
          <w:sz w:val="24"/>
        </w:rPr>
        <w:t>或依法递补其他成交候选人。</w:t>
      </w:r>
    </w:p>
    <w:p w14:paraId="64ABA6B8">
      <w:pPr>
        <w:spacing w:before="0" w:after="0" w:line="560" w:lineRule="exact"/>
        <w:ind w:firstLine="480" w:firstLineChars="200"/>
        <w:rPr>
          <w:rFonts w:eastAsia="宋体"/>
          <w:sz w:val="24"/>
        </w:rPr>
      </w:pPr>
      <w:r>
        <w:rPr>
          <w:rFonts w:hint="eastAsia" w:eastAsia="宋体"/>
          <w:sz w:val="24"/>
        </w:rPr>
        <w:t>注：本办法所有数值计算结果均保留小数点后两位，小数点后第三位四舍五入。若有效供应商数量少于评审文件规定的最低数量限制，本项目将作流标处理。</w:t>
      </w:r>
    </w:p>
    <w:p w14:paraId="1F42C296">
      <w:pPr>
        <w:tabs>
          <w:tab w:val="left" w:pos="1155"/>
        </w:tabs>
        <w:spacing w:line="360" w:lineRule="auto"/>
        <w:ind w:firstLine="482" w:firstLineChars="200"/>
        <w:jc w:val="left"/>
        <w:rPr>
          <w:rFonts w:hint="eastAsia" w:ascii="宋体" w:hAnsi="宋体"/>
          <w:b/>
          <w:bCs/>
          <w:sz w:val="24"/>
          <w:lang w:val="en-US"/>
        </w:rPr>
      </w:pPr>
    </w:p>
    <w:p w14:paraId="1720CB45">
      <w:pPr>
        <w:rPr>
          <w:lang w:val="en-US"/>
        </w:rPr>
      </w:pPr>
      <w:r>
        <w:rPr>
          <w:rFonts w:hint="eastAsia" w:ascii="宋体" w:hAnsi="宋体"/>
          <w:b/>
          <w:bCs/>
          <w:sz w:val="24"/>
          <w:lang w:val="en-US"/>
        </w:rPr>
        <w:br w:type="page"/>
      </w:r>
    </w:p>
    <w:p w14:paraId="1CE644F0">
      <w:pPr>
        <w:pStyle w:val="13"/>
        <w:spacing w:after="120" w:line="480" w:lineRule="exact"/>
        <w:jc w:val="center"/>
        <w:outlineLvl w:val="0"/>
        <w:rPr>
          <w:rFonts w:hint="eastAsia" w:asciiTheme="minorEastAsia" w:hAnsiTheme="minorEastAsia" w:cstheme="minorEastAsia"/>
          <w:b/>
          <w:color w:val="000000" w:themeColor="text1"/>
          <w:sz w:val="28"/>
          <w:szCs w:val="28"/>
          <w:lang w:val="en-US"/>
          <w14:textFill>
            <w14:solidFill>
              <w14:schemeClr w14:val="tx1"/>
            </w14:solidFill>
          </w14:textFill>
        </w:rPr>
      </w:pPr>
      <w:bookmarkStart w:id="115" w:name="_Toc24665"/>
      <w:bookmarkStart w:id="116" w:name="_Toc28416"/>
      <w:r>
        <w:rPr>
          <w:rFonts w:hint="eastAsia" w:asciiTheme="minorEastAsia" w:hAnsiTheme="minorEastAsia" w:cstheme="minorEastAsia"/>
          <w:b/>
          <w:color w:val="000000" w:themeColor="text1"/>
          <w:sz w:val="28"/>
          <w:szCs w:val="28"/>
          <w:lang w:val="en-US"/>
          <w14:textFill>
            <w14:solidFill>
              <w14:schemeClr w14:val="tx1"/>
            </w14:solidFill>
          </w14:textFill>
        </w:rPr>
        <w:t>六、合同的订立与主要条款</w:t>
      </w:r>
      <w:bookmarkEnd w:id="115"/>
      <w:bookmarkEnd w:id="116"/>
    </w:p>
    <w:p w14:paraId="5003FA8E">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一、付款方式</w:t>
      </w:r>
    </w:p>
    <w:p w14:paraId="4C4F1092">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付款方式：货到验收合格付款至60%，试运转合格后付至80%，封账协议签订并开票入账6个月后支付至97%，剩余3%作为质量保证金，质保期满后付清。</w:t>
      </w:r>
    </w:p>
    <w:p w14:paraId="771A27D1">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二、交付时间</w:t>
      </w:r>
    </w:p>
    <w:p w14:paraId="66A7A914">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按买受人要求。</w:t>
      </w:r>
    </w:p>
    <w:p w14:paraId="64118B8E">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三、质量要求</w:t>
      </w:r>
    </w:p>
    <w:p w14:paraId="77398793">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详见第九章技术规格书。</w:t>
      </w:r>
    </w:p>
    <w:p w14:paraId="53BEA2B9">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四、质量保证期</w:t>
      </w:r>
    </w:p>
    <w:p w14:paraId="757272FA">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成交人须对合同中规定的整套电梯提供全免费保养维修二十四个月（即免费维保期为两年），免费维保期自 政府有关职能部门检验机构验收合格并向交付建设单位之日起计。</w:t>
      </w:r>
    </w:p>
    <w:p w14:paraId="34082712">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五、合同转让和分包</w:t>
      </w:r>
    </w:p>
    <w:p w14:paraId="3A26DAAF">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卖方不得将合同转包给第三方。</w:t>
      </w:r>
    </w:p>
    <w:p w14:paraId="3F76F616">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六、违约责任</w:t>
      </w:r>
    </w:p>
    <w:p w14:paraId="67089AEE">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1、违约情形</w:t>
      </w:r>
    </w:p>
    <w:p w14:paraId="14E5E89D">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本合同正式签订后，任何一方不履行或不完全履行本合同条款的，即构成违约。</w:t>
      </w:r>
    </w:p>
    <w:p w14:paraId="50FDFA1F">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1）在产品履约期内，凡发现质量问题，由卖方负责处理，实行包换、包退，直至产品符合质量要求。报价人承担调换、退货发生的一切费用和买方的直接经济损失。</w:t>
      </w:r>
    </w:p>
    <w:p w14:paraId="0EBB5895">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2）卖方在接到买方通知后，应立即派人赴现场处理质量问题。</w:t>
      </w:r>
    </w:p>
    <w:p w14:paraId="135D9274">
      <w:pP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2、违约赔偿</w:t>
      </w:r>
    </w:p>
    <w:p w14:paraId="17CB70CD">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除不可抗力外，如卖方发生不能按期提供服务，买方发生中途退货等情况，应及时以书面形式通知对方。买、卖双方应本着友好的态度进行协商，妥善解决。如协商无效，按下列规定处以罚金。</w:t>
      </w:r>
    </w:p>
    <w:p w14:paraId="4DF1B3CB">
      <w:pP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1）逾期交货</w:t>
      </w:r>
    </w:p>
    <w:p w14:paraId="2C4BA6B9">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卖方逾期交货，按逾期交货部分总价计算向买方赔偿违约金，每逾期一天，按逾期材料总价的5%罚款。</w:t>
      </w:r>
    </w:p>
    <w:p w14:paraId="1C778738">
      <w:pPr>
        <w:numPr>
          <w:ilvl w:val="0"/>
          <w:numId w:val="1"/>
        </w:numP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卖方不能交货</w:t>
      </w:r>
    </w:p>
    <w:p w14:paraId="144493EB">
      <w:pPr>
        <w:numPr>
          <w:ilvl w:val="0"/>
          <w:numId w:val="0"/>
        </w:num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卖方不能交货或拒不供货，应向买方偿付违约金。违约金按不能履约材料部分价款的50%计算。</w:t>
      </w:r>
    </w:p>
    <w:p w14:paraId="67698958">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3）逾期交货的违约赔偿</w:t>
      </w:r>
    </w:p>
    <w:p w14:paraId="655FCC57">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逾期交货的违约赔偿高限度为迟交货合同总价的30%，如违约金达到最高限额时报价人仍不能提供服务，买方可考虑终止合同。</w:t>
      </w:r>
    </w:p>
    <w:p w14:paraId="38A6AA9D">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七、违约终止合同</w:t>
      </w:r>
    </w:p>
    <w:p w14:paraId="32D18FA3">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1、买方在卖方存在如下违约情况时，有权考虑并提出终止全部或部分合同。</w:t>
      </w:r>
    </w:p>
    <w:p w14:paraId="7589A471">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1）卖方未能在合同规定期限或买方同意延长的期限内交付全部。</w:t>
      </w:r>
    </w:p>
    <w:p w14:paraId="701B52BB">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2）卖方未能履行合同规定的其它义务。</w:t>
      </w:r>
    </w:p>
    <w:p w14:paraId="5F4DBCC1">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3）在发生上述情况后，卖方收到买方的违约通知后7天内未能纠正其过失。</w:t>
      </w:r>
    </w:p>
    <w:p w14:paraId="732217F9">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八、合同纠纷</w:t>
      </w:r>
    </w:p>
    <w:p w14:paraId="702394B7">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1、凡有关本合同或执行本合同中发生的纠纷，买、卖双方应通过友好协商，妥善解决。如通过协商仍不能解决时，可向买方签约地的人民法院申请诉讼。</w:t>
      </w:r>
    </w:p>
    <w:p w14:paraId="03395C59">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2、诉讼费用除法院另有裁决外，由败诉方承担。</w:t>
      </w:r>
    </w:p>
    <w:p w14:paraId="78960B12">
      <w:pP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3、在诉讼期间，除正在进行诉讼的部分外，本合同其它部分应继续执行。</w:t>
      </w:r>
    </w:p>
    <w:p w14:paraId="01384E4A">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九、其他约定事项</w:t>
      </w:r>
    </w:p>
    <w:p w14:paraId="65F75DE1">
      <w:pPr>
        <w:rPr>
          <w:rFonts w:hint="eastAsia" w:asciiTheme="minorEastAsia" w:hAnsiTheme="minorEastAsia" w:cstheme="minorEastAsia"/>
          <w:color w:val="000000" w:themeColor="text1"/>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施工前必须按要求提供产品合格证、出卖人所提供机械设备产品符合现行国家标准和地方、行业标准，并满足买受人要求。</w:t>
      </w:r>
    </w:p>
    <w:p w14:paraId="229C34FD">
      <w:pPr>
        <w:pStyle w:val="13"/>
        <w:spacing w:before="0" w:after="0" w:line="480" w:lineRule="exact"/>
        <w:jc w:val="center"/>
        <w:outlineLvl w:val="0"/>
        <w:rPr>
          <w:rFonts w:hint="eastAsia" w:hAnsi="宋体" w:eastAsia="宋体" w:cs="宋体"/>
          <w:b/>
          <w:sz w:val="30"/>
          <w:szCs w:val="36"/>
          <w:lang w:val="en-US"/>
        </w:rPr>
        <w:sectPr>
          <w:pgSz w:w="11906" w:h="16838"/>
          <w:pgMar w:top="1134" w:right="1134" w:bottom="1134" w:left="1247" w:header="851" w:footer="992" w:gutter="0"/>
          <w:pgNumType w:fmt="decimal"/>
          <w:cols w:space="0" w:num="1"/>
          <w:docGrid w:type="lines" w:linePitch="317" w:charSpace="0"/>
        </w:sectPr>
      </w:pPr>
      <w:bookmarkStart w:id="117" w:name="_Toc10225"/>
      <w:bookmarkStart w:id="118" w:name="_Toc16781"/>
    </w:p>
    <w:p w14:paraId="198BB8FB">
      <w:pPr>
        <w:pStyle w:val="13"/>
        <w:spacing w:before="0" w:after="0" w:line="480" w:lineRule="exact"/>
        <w:jc w:val="center"/>
        <w:outlineLvl w:val="0"/>
        <w:rPr>
          <w:rFonts w:hint="eastAsia" w:hAnsi="宋体" w:eastAsia="宋体" w:cs="宋体"/>
          <w:b/>
          <w:sz w:val="30"/>
          <w:szCs w:val="36"/>
          <w:lang w:val="en-US"/>
        </w:rPr>
      </w:pPr>
      <w:bookmarkStart w:id="119" w:name="_Toc16010"/>
      <w:r>
        <w:rPr>
          <w:rFonts w:hint="eastAsia" w:hAnsi="宋体" w:eastAsia="宋体" w:cs="宋体"/>
          <w:b/>
          <w:sz w:val="30"/>
          <w:szCs w:val="36"/>
          <w:lang w:val="en-US"/>
        </w:rPr>
        <w:t>七、响应文件格式</w:t>
      </w:r>
      <w:bookmarkEnd w:id="117"/>
      <w:bookmarkEnd w:id="118"/>
      <w:bookmarkEnd w:id="119"/>
    </w:p>
    <w:p w14:paraId="56177CC2">
      <w:pPr>
        <w:spacing w:before="0" w:after="0" w:line="560" w:lineRule="exact"/>
        <w:jc w:val="center"/>
        <w:outlineLvl w:val="1"/>
        <w:rPr>
          <w:b/>
          <w:bCs/>
          <w:sz w:val="24"/>
          <w:szCs w:val="24"/>
        </w:rPr>
      </w:pPr>
      <w:bookmarkStart w:id="120" w:name="_Toc31569"/>
      <w:bookmarkStart w:id="121" w:name="_Toc25364"/>
      <w:bookmarkStart w:id="122" w:name="_Toc14713"/>
      <w:bookmarkStart w:id="123" w:name="_Toc3686"/>
      <w:r>
        <w:rPr>
          <w:rFonts w:hint="eastAsia"/>
          <w:b/>
          <w:bCs/>
          <w:sz w:val="24"/>
          <w:szCs w:val="24"/>
        </w:rPr>
        <w:t>法定代表人身份证明</w:t>
      </w:r>
      <w:bookmarkEnd w:id="120"/>
      <w:bookmarkEnd w:id="121"/>
      <w:bookmarkEnd w:id="122"/>
      <w:bookmarkEnd w:id="123"/>
    </w:p>
    <w:p w14:paraId="128D2DE3"/>
    <w:p w14:paraId="6B3D0A24">
      <w:pPr>
        <w:spacing w:before="0" w:after="0" w:line="560" w:lineRule="exact"/>
        <w:ind w:left="440" w:leftChars="200"/>
        <w:rPr>
          <w:sz w:val="24"/>
          <w:szCs w:val="24"/>
          <w:u w:val="single"/>
        </w:rPr>
      </w:pPr>
      <w:r>
        <w:rPr>
          <w:rFonts w:hint="eastAsia"/>
          <w:sz w:val="24"/>
          <w:szCs w:val="24"/>
          <w:lang w:val="en-US"/>
        </w:rPr>
        <w:t>响应</w:t>
      </w:r>
      <w:r>
        <w:rPr>
          <w:rFonts w:hint="eastAsia"/>
          <w:sz w:val="24"/>
          <w:szCs w:val="24"/>
        </w:rPr>
        <w:t>人名称：</w:t>
      </w:r>
      <w:r>
        <w:rPr>
          <w:sz w:val="24"/>
          <w:szCs w:val="24"/>
          <w:u w:val="single"/>
        </w:rPr>
        <w:t xml:space="preserve">                  </w:t>
      </w:r>
      <w:r>
        <w:rPr>
          <w:rFonts w:hint="eastAsia"/>
          <w:sz w:val="24"/>
          <w:szCs w:val="24"/>
          <w:u w:val="single"/>
          <w:lang w:val="en-US"/>
        </w:rPr>
        <w:t xml:space="preserve">                     </w:t>
      </w:r>
      <w:r>
        <w:rPr>
          <w:sz w:val="24"/>
          <w:szCs w:val="24"/>
          <w:u w:val="single"/>
        </w:rPr>
        <w:t xml:space="preserve">           </w:t>
      </w:r>
    </w:p>
    <w:p w14:paraId="01DC6C20">
      <w:pPr>
        <w:spacing w:before="0" w:after="0" w:line="560" w:lineRule="exact"/>
        <w:ind w:left="440" w:leftChars="200"/>
        <w:rPr>
          <w:sz w:val="24"/>
          <w:szCs w:val="24"/>
        </w:rPr>
      </w:pPr>
      <w:r>
        <w:rPr>
          <w:rFonts w:hint="eastAsia"/>
          <w:sz w:val="24"/>
          <w:szCs w:val="24"/>
        </w:rPr>
        <w:t>单位性质：</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p>
    <w:p w14:paraId="391CC4DA">
      <w:pPr>
        <w:spacing w:before="0" w:after="0" w:line="560" w:lineRule="exact"/>
        <w:ind w:left="440" w:leftChars="200"/>
        <w:rPr>
          <w:sz w:val="24"/>
          <w:szCs w:val="24"/>
        </w:rPr>
      </w:pPr>
      <w:r>
        <w:rPr>
          <w:rFonts w:hint="eastAsia"/>
          <w:sz w:val="24"/>
          <w:szCs w:val="24"/>
        </w:rPr>
        <w:t>地址：</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p>
    <w:p w14:paraId="12A2ACDA">
      <w:pPr>
        <w:spacing w:before="0" w:after="0" w:line="560" w:lineRule="exact"/>
        <w:ind w:left="440" w:leftChars="200"/>
        <w:rPr>
          <w:sz w:val="24"/>
          <w:szCs w:val="24"/>
        </w:rPr>
      </w:pPr>
      <w:r>
        <w:rPr>
          <w:rFonts w:hint="eastAsia"/>
          <w:sz w:val="24"/>
          <w:szCs w:val="24"/>
        </w:rPr>
        <w:t>成立时间：</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r>
        <w:rPr>
          <w:rFonts w:hint="eastAsia"/>
          <w:sz w:val="24"/>
          <w:szCs w:val="24"/>
        </w:rPr>
        <w:t>年</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r>
        <w:rPr>
          <w:rFonts w:hint="eastAsia"/>
          <w:sz w:val="24"/>
          <w:szCs w:val="24"/>
        </w:rPr>
        <w:t>月</w:t>
      </w:r>
      <w:r>
        <w:rPr>
          <w:sz w:val="24"/>
          <w:szCs w:val="24"/>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r>
        <w:rPr>
          <w:rFonts w:hint="eastAsia"/>
          <w:sz w:val="24"/>
          <w:szCs w:val="24"/>
        </w:rPr>
        <w:t>日</w:t>
      </w:r>
    </w:p>
    <w:p w14:paraId="312A8EB6">
      <w:pPr>
        <w:spacing w:before="0" w:after="0" w:line="560" w:lineRule="exact"/>
        <w:ind w:left="440" w:leftChars="200"/>
        <w:rPr>
          <w:sz w:val="24"/>
          <w:szCs w:val="24"/>
        </w:rPr>
      </w:pPr>
      <w:r>
        <w:rPr>
          <w:rFonts w:hint="eastAsia"/>
          <w:sz w:val="24"/>
          <w:szCs w:val="24"/>
        </w:rPr>
        <w:t>经营期限：</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p>
    <w:p w14:paraId="3BD5296C">
      <w:pPr>
        <w:spacing w:before="0" w:after="0" w:line="560" w:lineRule="exact"/>
        <w:ind w:left="440" w:leftChars="200"/>
        <w:rPr>
          <w:sz w:val="24"/>
          <w:szCs w:val="24"/>
        </w:rPr>
      </w:pPr>
      <w:r>
        <w:rPr>
          <w:rFonts w:hint="eastAsia"/>
          <w:sz w:val="24"/>
          <w:szCs w:val="24"/>
        </w:rPr>
        <w:t>姓名：</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r>
        <w:rPr>
          <w:rFonts w:hint="eastAsia"/>
          <w:sz w:val="24"/>
          <w:szCs w:val="24"/>
          <w:lang w:val="en-US"/>
        </w:rPr>
        <w:t xml:space="preserve"> </w:t>
      </w:r>
      <w:r>
        <w:rPr>
          <w:rFonts w:hint="eastAsia"/>
          <w:sz w:val="24"/>
          <w:szCs w:val="24"/>
        </w:rPr>
        <w:t>性别：</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r>
        <w:rPr>
          <w:rFonts w:hint="eastAsia"/>
          <w:sz w:val="24"/>
          <w:szCs w:val="24"/>
        </w:rPr>
        <w:t>年龄：</w:t>
      </w:r>
      <w:r>
        <w:rPr>
          <w:sz w:val="24"/>
          <w:szCs w:val="24"/>
          <w:u w:val="single"/>
        </w:rPr>
        <w:t xml:space="preserve">        </w:t>
      </w:r>
      <w:r>
        <w:rPr>
          <w:sz w:val="24"/>
          <w:szCs w:val="24"/>
        </w:rPr>
        <w:t xml:space="preserve">    </w:t>
      </w:r>
    </w:p>
    <w:p w14:paraId="4AAC980D">
      <w:pPr>
        <w:spacing w:before="0" w:after="0" w:line="560" w:lineRule="exact"/>
        <w:ind w:left="440" w:leftChars="200"/>
        <w:rPr>
          <w:sz w:val="24"/>
          <w:szCs w:val="24"/>
        </w:rPr>
      </w:pPr>
      <w:r>
        <w:rPr>
          <w:rFonts w:hint="eastAsia"/>
          <w:sz w:val="24"/>
          <w:szCs w:val="24"/>
        </w:rPr>
        <w:t>职务：</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sz w:val="24"/>
          <w:szCs w:val="24"/>
        </w:rPr>
        <w:t xml:space="preserve">     </w:t>
      </w:r>
      <w:r>
        <w:rPr>
          <w:rFonts w:hint="eastAsia"/>
          <w:sz w:val="24"/>
          <w:szCs w:val="24"/>
        </w:rPr>
        <w:t>电话号码：</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rFonts w:hint="eastAsia"/>
          <w:sz w:val="24"/>
          <w:szCs w:val="24"/>
        </w:rPr>
        <w:t xml:space="preserve">          </w:t>
      </w:r>
    </w:p>
    <w:p w14:paraId="4CBDC3E4">
      <w:pPr>
        <w:spacing w:before="0" w:after="0" w:line="560" w:lineRule="exact"/>
        <w:ind w:left="440" w:leftChars="200"/>
        <w:rPr>
          <w:sz w:val="24"/>
          <w:szCs w:val="24"/>
        </w:rPr>
      </w:pPr>
      <w:r>
        <w:rPr>
          <w:rFonts w:hint="eastAsia"/>
          <w:sz w:val="24"/>
          <w:szCs w:val="24"/>
        </w:rPr>
        <w:t>系</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rFonts w:hint="eastAsia"/>
          <w:sz w:val="24"/>
          <w:szCs w:val="24"/>
        </w:rPr>
        <w:t>（</w:t>
      </w:r>
      <w:r>
        <w:rPr>
          <w:rFonts w:hint="eastAsia"/>
          <w:sz w:val="24"/>
          <w:szCs w:val="24"/>
          <w:lang w:val="en-US"/>
        </w:rPr>
        <w:t>响应</w:t>
      </w:r>
      <w:r>
        <w:rPr>
          <w:rFonts w:hint="eastAsia"/>
          <w:sz w:val="24"/>
          <w:szCs w:val="24"/>
        </w:rPr>
        <w:t>人名称）的法定代表人。</w:t>
      </w:r>
    </w:p>
    <w:p w14:paraId="05476563">
      <w:pPr>
        <w:spacing w:before="0" w:after="0" w:line="560" w:lineRule="exact"/>
        <w:ind w:left="440" w:leftChars="200"/>
        <w:rPr>
          <w:sz w:val="24"/>
          <w:szCs w:val="24"/>
        </w:rPr>
      </w:pPr>
      <w:r>
        <w:rPr>
          <w:rFonts w:hint="eastAsia"/>
          <w:sz w:val="24"/>
          <w:szCs w:val="24"/>
        </w:rPr>
        <w:t>特此证明。</w:t>
      </w:r>
    </w:p>
    <w:p w14:paraId="2F5CA73F">
      <w:pPr>
        <w:spacing w:before="0" w:after="0" w:line="560" w:lineRule="exact"/>
        <w:ind w:left="440" w:leftChars="200"/>
        <w:rPr>
          <w:sz w:val="24"/>
          <w:szCs w:val="24"/>
        </w:rPr>
      </w:pPr>
      <w:r>
        <w:rPr>
          <w:rFonts w:hint="eastAsia"/>
          <w:sz w:val="24"/>
          <w:szCs w:val="24"/>
        </w:rPr>
        <w:t>附：法定代表人身份证复印件。</w:t>
      </w:r>
    </w:p>
    <w:p w14:paraId="6729EB9E">
      <w:pPr>
        <w:rPr>
          <w:sz w:val="24"/>
          <w:szCs w:val="24"/>
        </w:rPr>
      </w:pPr>
    </w:p>
    <w:p w14:paraId="2820B9F7">
      <w:pPr>
        <w:rPr>
          <w:sz w:val="24"/>
          <w:szCs w:val="24"/>
        </w:rPr>
      </w:pPr>
      <w:r>
        <w:rPr>
          <w:sz w:val="24"/>
          <w:szCs w:val="24"/>
        </w:rPr>
        <w:t xml:space="preserve">                         </w:t>
      </w:r>
      <w:r>
        <w:rPr>
          <w:rFonts w:hint="eastAsia"/>
          <w:sz w:val="24"/>
          <w:szCs w:val="24"/>
          <w:lang w:val="en-US"/>
        </w:rPr>
        <w:t xml:space="preserve">     </w:t>
      </w:r>
      <w:r>
        <w:rPr>
          <w:sz w:val="24"/>
          <w:szCs w:val="24"/>
        </w:rPr>
        <w:t xml:space="preserve"> </w:t>
      </w:r>
      <w:r>
        <w:rPr>
          <w:rFonts w:hint="eastAsia"/>
          <w:sz w:val="24"/>
          <w:szCs w:val="24"/>
          <w:lang w:val="en-US"/>
        </w:rPr>
        <w:t>响应</w:t>
      </w:r>
      <w:r>
        <w:rPr>
          <w:rFonts w:hint="eastAsia"/>
          <w:sz w:val="24"/>
          <w:szCs w:val="24"/>
        </w:rPr>
        <w:t>人：</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rFonts w:hint="eastAsia"/>
          <w:sz w:val="24"/>
          <w:szCs w:val="24"/>
        </w:rPr>
        <w:t>（盖单位章）</w:t>
      </w:r>
    </w:p>
    <w:p w14:paraId="312C4281">
      <w:pPr>
        <w:rPr>
          <w:sz w:val="24"/>
          <w:szCs w:val="24"/>
        </w:rPr>
      </w:pPr>
      <w:r>
        <w:rPr>
          <w:sz w:val="24"/>
          <w:szCs w:val="24"/>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lang w:val="en-US"/>
        </w:rPr>
        <w:t xml:space="preserve">    </w:t>
      </w:r>
      <w:r>
        <w:rPr>
          <w:sz w:val="24"/>
          <w:szCs w:val="24"/>
        </w:rPr>
        <w:t xml:space="preserve"> </w:t>
      </w:r>
      <w:r>
        <w:rPr>
          <w:rFonts w:hint="eastAsia"/>
          <w:sz w:val="24"/>
          <w:szCs w:val="24"/>
        </w:rPr>
        <w:t>日</w:t>
      </w:r>
      <w:r>
        <w:rPr>
          <w:sz w:val="24"/>
          <w:szCs w:val="24"/>
        </w:rPr>
        <w:t xml:space="preserve">   </w:t>
      </w:r>
    </w:p>
    <w:p w14:paraId="19A4B0C3">
      <w:r>
        <w:rPr>
          <w:rFonts w:hint="eastAsia"/>
        </w:rPr>
        <w:br w:type="page"/>
      </w:r>
    </w:p>
    <w:p w14:paraId="5BA2AB00">
      <w:pPr>
        <w:spacing w:before="0" w:after="0" w:line="560" w:lineRule="exact"/>
        <w:jc w:val="center"/>
        <w:outlineLvl w:val="1"/>
        <w:rPr>
          <w:b/>
          <w:bCs/>
          <w:sz w:val="24"/>
          <w:szCs w:val="24"/>
        </w:rPr>
      </w:pPr>
      <w:bookmarkStart w:id="124" w:name="_Toc28153"/>
      <w:bookmarkStart w:id="125" w:name="_Toc21370"/>
      <w:bookmarkStart w:id="126" w:name="_Toc14827"/>
      <w:bookmarkStart w:id="127" w:name="_Toc28200"/>
      <w:r>
        <w:rPr>
          <w:rFonts w:hint="eastAsia"/>
          <w:b/>
          <w:bCs/>
          <w:sz w:val="24"/>
          <w:szCs w:val="24"/>
        </w:rPr>
        <w:t>法定代表人授权委托书（</w:t>
      </w:r>
      <w:r>
        <w:rPr>
          <w:rFonts w:hint="eastAsia"/>
          <w:b/>
          <w:bCs/>
          <w:sz w:val="24"/>
          <w:szCs w:val="24"/>
          <w:lang w:val="en-US"/>
        </w:rPr>
        <w:t>如需</w:t>
      </w:r>
      <w:r>
        <w:rPr>
          <w:rFonts w:hint="eastAsia"/>
          <w:b/>
          <w:bCs/>
          <w:sz w:val="24"/>
          <w:szCs w:val="24"/>
        </w:rPr>
        <w:t>）</w:t>
      </w:r>
      <w:bookmarkEnd w:id="124"/>
      <w:bookmarkEnd w:id="125"/>
      <w:bookmarkEnd w:id="126"/>
      <w:bookmarkEnd w:id="127"/>
    </w:p>
    <w:p w14:paraId="21DD39F7">
      <w:pPr>
        <w:jc w:val="center"/>
        <w:rPr>
          <w:sz w:val="24"/>
          <w:szCs w:val="24"/>
          <w:lang w:val="en-US"/>
        </w:rPr>
      </w:pPr>
      <w:r>
        <w:rPr>
          <w:rFonts w:hint="eastAsia"/>
          <w:sz w:val="24"/>
          <w:szCs w:val="24"/>
          <w:lang w:val="en-US"/>
        </w:rPr>
        <w:t>（响应文件由法人签字盖章的不需提供委托书）</w:t>
      </w:r>
    </w:p>
    <w:p w14:paraId="063F4A8E">
      <w:pPr>
        <w:spacing w:before="0" w:after="0" w:line="560" w:lineRule="exact"/>
        <w:ind w:firstLine="480" w:firstLineChars="200"/>
        <w:jc w:val="left"/>
        <w:rPr>
          <w:sz w:val="24"/>
          <w:szCs w:val="24"/>
        </w:rPr>
      </w:pPr>
    </w:p>
    <w:p w14:paraId="23D80810">
      <w:pPr>
        <w:spacing w:before="0" w:after="0" w:line="560" w:lineRule="exact"/>
        <w:ind w:firstLine="480" w:firstLineChars="200"/>
        <w:jc w:val="left"/>
        <w:rPr>
          <w:sz w:val="24"/>
          <w:szCs w:val="24"/>
        </w:rPr>
      </w:pPr>
      <w:r>
        <w:rPr>
          <w:rFonts w:hint="eastAsia"/>
          <w:sz w:val="24"/>
          <w:szCs w:val="24"/>
        </w:rPr>
        <w:t>本人</w:t>
      </w:r>
      <w:r>
        <w:rPr>
          <w:sz w:val="24"/>
          <w:szCs w:val="24"/>
          <w:u w:val="single"/>
        </w:rPr>
        <w:t xml:space="preserve">       </w:t>
      </w:r>
      <w:r>
        <w:rPr>
          <w:rFonts w:hint="eastAsia"/>
          <w:sz w:val="24"/>
          <w:szCs w:val="24"/>
        </w:rPr>
        <w:t>（姓名）系</w:t>
      </w:r>
      <w:r>
        <w:rPr>
          <w:sz w:val="24"/>
          <w:szCs w:val="24"/>
          <w:u w:val="single"/>
        </w:rPr>
        <w:t xml:space="preserve">       </w:t>
      </w:r>
      <w:r>
        <w:rPr>
          <w:rFonts w:hint="eastAsia"/>
          <w:sz w:val="24"/>
          <w:szCs w:val="24"/>
          <w:u w:val="single"/>
          <w:lang w:val="en-US"/>
        </w:rPr>
        <w:t xml:space="preserve">          </w:t>
      </w:r>
      <w:r>
        <w:rPr>
          <w:rFonts w:hint="eastAsia"/>
          <w:sz w:val="24"/>
          <w:szCs w:val="24"/>
        </w:rPr>
        <w:t>（</w:t>
      </w:r>
      <w:r>
        <w:rPr>
          <w:rFonts w:hint="eastAsia"/>
          <w:sz w:val="24"/>
          <w:szCs w:val="24"/>
          <w:lang w:val="en-US"/>
        </w:rPr>
        <w:t>响应</w:t>
      </w:r>
      <w:r>
        <w:rPr>
          <w:rFonts w:hint="eastAsia"/>
          <w:sz w:val="24"/>
          <w:szCs w:val="24"/>
        </w:rPr>
        <w:t>人名称）的法定代表人，现委托我公司</w:t>
      </w:r>
      <w:r>
        <w:rPr>
          <w:sz w:val="24"/>
          <w:szCs w:val="24"/>
        </w:rPr>
        <w:t xml:space="preserve"> </w:t>
      </w:r>
      <w:r>
        <w:rPr>
          <w:sz w:val="24"/>
          <w:szCs w:val="24"/>
          <w:u w:val="single"/>
        </w:rPr>
        <w:t xml:space="preserve">       </w:t>
      </w:r>
      <w:r>
        <w:rPr>
          <w:rFonts w:hint="eastAsia"/>
          <w:sz w:val="24"/>
          <w:szCs w:val="24"/>
        </w:rPr>
        <w:t>（职位）</w:t>
      </w:r>
      <w:r>
        <w:rPr>
          <w:sz w:val="24"/>
          <w:szCs w:val="24"/>
          <w:u w:val="single"/>
        </w:rPr>
        <w:t xml:space="preserve">    </w:t>
      </w:r>
      <w:r>
        <w:rPr>
          <w:rFonts w:hint="eastAsia"/>
          <w:sz w:val="24"/>
          <w:szCs w:val="24"/>
          <w:u w:val="single"/>
          <w:lang w:val="en-US"/>
        </w:rPr>
        <w:t xml:space="preserve"> </w:t>
      </w:r>
      <w:r>
        <w:rPr>
          <w:sz w:val="24"/>
          <w:szCs w:val="24"/>
          <w:u w:val="single"/>
        </w:rPr>
        <w:t xml:space="preserve">   </w:t>
      </w:r>
      <w:r>
        <w:rPr>
          <w:rFonts w:hint="eastAsia"/>
          <w:sz w:val="24"/>
          <w:szCs w:val="24"/>
        </w:rPr>
        <w:t>（姓名）为我方代理人。代理人根据授权，以我方名义签署、澄清、说明、补正、递交、撤回、修改</w:t>
      </w:r>
      <w:r>
        <w:rPr>
          <w:sz w:val="24"/>
          <w:szCs w:val="24"/>
          <w:highlight w:val="none"/>
          <w:u w:val="single"/>
        </w:rPr>
        <w:t xml:space="preserve"> </w:t>
      </w:r>
      <w:r>
        <w:rPr>
          <w:rFonts w:hint="eastAsia"/>
          <w:sz w:val="24"/>
          <w:szCs w:val="24"/>
          <w:highlight w:val="none"/>
          <w:u w:val="single"/>
        </w:rPr>
        <w:t>淮北矿业（集团）工程建设有限责任公司</w:t>
      </w:r>
      <w:r>
        <w:rPr>
          <w:rFonts w:hint="eastAsia"/>
          <w:sz w:val="24"/>
          <w:szCs w:val="24"/>
          <w:highlight w:val="none"/>
          <w:u w:val="single"/>
          <w:lang w:val="en-US" w:eastAsia="zh-CN"/>
        </w:rPr>
        <w:t>淮北高新区陶铝新材料产业园项目设计施工总承包冉邦地块北区</w:t>
      </w:r>
      <w:r>
        <w:rPr>
          <w:rFonts w:hint="eastAsia"/>
          <w:sz w:val="24"/>
          <w:szCs w:val="24"/>
          <w:highlight w:val="none"/>
          <w:u w:val="single"/>
        </w:rPr>
        <w:t>—</w:t>
      </w:r>
      <w:r>
        <w:rPr>
          <w:rFonts w:hint="eastAsia"/>
          <w:sz w:val="24"/>
          <w:szCs w:val="24"/>
          <w:highlight w:val="none"/>
          <w:u w:val="single"/>
          <w:lang w:val="en-US" w:eastAsia="zh-CN"/>
        </w:rPr>
        <w:t>电梯</w:t>
      </w:r>
      <w:r>
        <w:rPr>
          <w:rFonts w:hint="eastAsia"/>
          <w:sz w:val="24"/>
          <w:szCs w:val="24"/>
          <w:highlight w:val="none"/>
          <w:u w:val="single"/>
        </w:rPr>
        <w:t>询比采购</w:t>
      </w:r>
      <w:r>
        <w:rPr>
          <w:sz w:val="24"/>
          <w:szCs w:val="24"/>
          <w:highlight w:val="none"/>
          <w:u w:val="single"/>
        </w:rPr>
        <w:t xml:space="preserve"> </w:t>
      </w:r>
      <w:r>
        <w:rPr>
          <w:rFonts w:hint="eastAsia"/>
          <w:sz w:val="24"/>
          <w:szCs w:val="24"/>
        </w:rPr>
        <w:t>（项目名称）</w:t>
      </w:r>
      <w:r>
        <w:rPr>
          <w:rFonts w:hint="eastAsia"/>
          <w:sz w:val="24"/>
          <w:szCs w:val="24"/>
          <w:lang w:val="en-US"/>
        </w:rPr>
        <w:t>响应</w:t>
      </w:r>
      <w:r>
        <w:rPr>
          <w:rFonts w:hint="eastAsia"/>
          <w:sz w:val="24"/>
          <w:szCs w:val="24"/>
        </w:rPr>
        <w:t>文件、签订合同和处理有关事宜，其法律后果由我方承担。</w:t>
      </w:r>
    </w:p>
    <w:p w14:paraId="4F311504">
      <w:pPr>
        <w:spacing w:before="0" w:after="0" w:line="560" w:lineRule="exact"/>
        <w:ind w:firstLine="480" w:firstLineChars="200"/>
        <w:jc w:val="left"/>
        <w:rPr>
          <w:sz w:val="24"/>
          <w:szCs w:val="24"/>
        </w:rPr>
      </w:pPr>
      <w:r>
        <w:rPr>
          <w:rFonts w:hint="eastAsia"/>
          <w:sz w:val="24"/>
          <w:szCs w:val="24"/>
        </w:rPr>
        <w:t>委托期限：</w:t>
      </w:r>
      <w:r>
        <w:rPr>
          <w:sz w:val="24"/>
          <w:szCs w:val="24"/>
          <w:u w:val="single"/>
        </w:rPr>
        <w:t xml:space="preserve">             </w:t>
      </w:r>
      <w:r>
        <w:rPr>
          <w:rFonts w:hint="eastAsia"/>
          <w:sz w:val="24"/>
          <w:szCs w:val="24"/>
        </w:rPr>
        <w:t>。</w:t>
      </w:r>
    </w:p>
    <w:p w14:paraId="360518BF">
      <w:pPr>
        <w:spacing w:before="0" w:after="0" w:line="560" w:lineRule="exact"/>
        <w:ind w:firstLine="480" w:firstLineChars="200"/>
        <w:jc w:val="left"/>
        <w:rPr>
          <w:sz w:val="24"/>
          <w:szCs w:val="24"/>
        </w:rPr>
      </w:pPr>
      <w:r>
        <w:rPr>
          <w:rFonts w:hint="eastAsia"/>
          <w:sz w:val="24"/>
          <w:szCs w:val="24"/>
        </w:rPr>
        <w:t>代理人无转委托权。</w:t>
      </w:r>
    </w:p>
    <w:p w14:paraId="018DE55C">
      <w:pPr>
        <w:spacing w:before="0" w:after="0" w:line="560" w:lineRule="exact"/>
        <w:ind w:firstLine="480" w:firstLineChars="200"/>
        <w:jc w:val="left"/>
        <w:rPr>
          <w:sz w:val="24"/>
          <w:szCs w:val="24"/>
        </w:rPr>
      </w:pPr>
      <w:r>
        <w:rPr>
          <w:rFonts w:hint="eastAsia"/>
          <w:sz w:val="24"/>
          <w:szCs w:val="24"/>
        </w:rPr>
        <w:t>附：</w:t>
      </w:r>
      <w:r>
        <w:rPr>
          <w:rFonts w:hint="eastAsia"/>
          <w:sz w:val="24"/>
          <w:szCs w:val="24"/>
          <w:lang w:val="en-US"/>
        </w:rPr>
        <w:t>法定代表人和委托人身份证（正反面）</w:t>
      </w:r>
    </w:p>
    <w:p w14:paraId="3B5AC84B">
      <w:pPr>
        <w:spacing w:before="0" w:after="0" w:line="560" w:lineRule="exact"/>
        <w:ind w:firstLine="480" w:firstLineChars="200"/>
        <w:jc w:val="left"/>
        <w:rPr>
          <w:sz w:val="24"/>
          <w:szCs w:val="24"/>
        </w:rPr>
      </w:pPr>
    </w:p>
    <w:p w14:paraId="16E7566F">
      <w:pPr>
        <w:spacing w:before="0" w:after="0" w:line="560" w:lineRule="exact"/>
        <w:ind w:firstLine="480" w:firstLineChars="200"/>
        <w:jc w:val="left"/>
        <w:rPr>
          <w:sz w:val="24"/>
          <w:szCs w:val="24"/>
        </w:rPr>
      </w:pPr>
    </w:p>
    <w:p w14:paraId="6108519F">
      <w:pPr>
        <w:spacing w:before="0" w:after="0" w:line="560" w:lineRule="exact"/>
        <w:ind w:left="1760" w:leftChars="800"/>
        <w:jc w:val="left"/>
        <w:rPr>
          <w:sz w:val="24"/>
          <w:szCs w:val="24"/>
        </w:rPr>
      </w:pPr>
      <w:r>
        <w:rPr>
          <w:rFonts w:hint="eastAsia"/>
          <w:sz w:val="24"/>
          <w:szCs w:val="24"/>
        </w:rPr>
        <w:t>报价人：</w:t>
      </w:r>
      <w:r>
        <w:rPr>
          <w:sz w:val="24"/>
          <w:szCs w:val="24"/>
          <w:u w:val="single"/>
        </w:rPr>
        <w:t xml:space="preserve">                               </w:t>
      </w:r>
      <w:r>
        <w:rPr>
          <w:rFonts w:hint="eastAsia"/>
          <w:sz w:val="24"/>
          <w:szCs w:val="24"/>
        </w:rPr>
        <w:t>（盖单位章）</w:t>
      </w:r>
    </w:p>
    <w:p w14:paraId="474C2F81">
      <w:pPr>
        <w:spacing w:before="0" w:after="0" w:line="560" w:lineRule="exact"/>
        <w:ind w:left="1760" w:leftChars="800"/>
        <w:jc w:val="left"/>
        <w:rPr>
          <w:sz w:val="24"/>
          <w:szCs w:val="24"/>
        </w:rPr>
      </w:pPr>
      <w:r>
        <w:rPr>
          <w:rFonts w:hint="eastAsia"/>
          <w:sz w:val="24"/>
          <w:szCs w:val="24"/>
        </w:rPr>
        <w:t>法定代表人：</w:t>
      </w:r>
      <w:r>
        <w:rPr>
          <w:sz w:val="24"/>
          <w:szCs w:val="24"/>
          <w:u w:val="single"/>
        </w:rPr>
        <w:t xml:space="preserve">                               </w:t>
      </w:r>
      <w:r>
        <w:rPr>
          <w:rFonts w:hint="eastAsia"/>
          <w:sz w:val="24"/>
          <w:szCs w:val="24"/>
        </w:rPr>
        <w:t>（签字或盖章）</w:t>
      </w:r>
    </w:p>
    <w:p w14:paraId="1D1C5EAE">
      <w:pPr>
        <w:spacing w:before="0" w:after="0" w:line="560" w:lineRule="exact"/>
        <w:ind w:left="1760" w:leftChars="800"/>
        <w:jc w:val="left"/>
        <w:rPr>
          <w:sz w:val="24"/>
          <w:szCs w:val="24"/>
          <w:u w:val="single"/>
        </w:rPr>
      </w:pPr>
      <w:r>
        <w:rPr>
          <w:rFonts w:hint="eastAsia"/>
          <w:sz w:val="24"/>
          <w:szCs w:val="24"/>
        </w:rPr>
        <w:t>身份证号码：</w:t>
      </w:r>
      <w:r>
        <w:rPr>
          <w:sz w:val="24"/>
          <w:szCs w:val="24"/>
          <w:u w:val="single"/>
        </w:rPr>
        <w:t xml:space="preserve">                               </w:t>
      </w:r>
    </w:p>
    <w:p w14:paraId="2E123535">
      <w:pPr>
        <w:spacing w:before="0" w:after="0" w:line="560" w:lineRule="exact"/>
        <w:ind w:left="1760" w:leftChars="800"/>
        <w:jc w:val="left"/>
        <w:rPr>
          <w:sz w:val="24"/>
          <w:szCs w:val="24"/>
        </w:rPr>
      </w:pPr>
      <w:r>
        <w:rPr>
          <w:rFonts w:hint="eastAsia"/>
          <w:sz w:val="24"/>
          <w:szCs w:val="24"/>
        </w:rPr>
        <w:t>委托代理人：</w:t>
      </w:r>
      <w:r>
        <w:rPr>
          <w:sz w:val="24"/>
          <w:szCs w:val="24"/>
          <w:u w:val="single"/>
        </w:rPr>
        <w:t xml:space="preserve">                               </w:t>
      </w:r>
      <w:r>
        <w:rPr>
          <w:sz w:val="24"/>
          <w:szCs w:val="24"/>
        </w:rPr>
        <w:t xml:space="preserve"> </w:t>
      </w:r>
      <w:r>
        <w:rPr>
          <w:rFonts w:hint="eastAsia"/>
          <w:sz w:val="24"/>
          <w:szCs w:val="24"/>
        </w:rPr>
        <w:t>（签字或盖章）</w:t>
      </w:r>
      <w:r>
        <w:rPr>
          <w:sz w:val="24"/>
          <w:szCs w:val="24"/>
        </w:rPr>
        <w:t xml:space="preserve"> </w:t>
      </w:r>
    </w:p>
    <w:p w14:paraId="70C2B7B4">
      <w:pPr>
        <w:spacing w:before="0" w:after="0" w:line="560" w:lineRule="exact"/>
        <w:ind w:left="1760" w:leftChars="800"/>
        <w:jc w:val="left"/>
        <w:rPr>
          <w:sz w:val="24"/>
          <w:szCs w:val="24"/>
        </w:rPr>
      </w:pPr>
      <w:r>
        <w:rPr>
          <w:rFonts w:hint="eastAsia"/>
          <w:sz w:val="24"/>
          <w:szCs w:val="24"/>
        </w:rPr>
        <w:t>身份证号码：</w:t>
      </w:r>
      <w:r>
        <w:rPr>
          <w:sz w:val="24"/>
          <w:szCs w:val="24"/>
          <w:u w:val="single"/>
        </w:rPr>
        <w:t xml:space="preserve">                               </w:t>
      </w:r>
      <w:r>
        <w:rPr>
          <w:rFonts w:hint="eastAsia"/>
          <w:sz w:val="24"/>
          <w:szCs w:val="24"/>
        </w:rPr>
        <w:t>附身份证复印件</w:t>
      </w:r>
    </w:p>
    <w:p w14:paraId="3CFB4E20">
      <w:pPr>
        <w:spacing w:before="0" w:after="0" w:line="560" w:lineRule="exact"/>
        <w:ind w:left="1760" w:leftChars="800"/>
        <w:jc w:val="left"/>
        <w:rPr>
          <w:sz w:val="24"/>
          <w:szCs w:val="24"/>
        </w:rPr>
      </w:pPr>
      <w:r>
        <w:rPr>
          <w:rFonts w:hint="eastAsia"/>
          <w:sz w:val="24"/>
          <w:szCs w:val="24"/>
        </w:rPr>
        <w:t>电话号码：</w:t>
      </w:r>
      <w:r>
        <w:rPr>
          <w:sz w:val="24"/>
          <w:szCs w:val="24"/>
          <w:u w:val="single"/>
        </w:rPr>
        <w:t xml:space="preserve">                               </w:t>
      </w:r>
      <w:r>
        <w:rPr>
          <w:rFonts w:hint="eastAsia"/>
          <w:sz w:val="24"/>
          <w:szCs w:val="24"/>
        </w:rPr>
        <w:t xml:space="preserve">             </w:t>
      </w:r>
    </w:p>
    <w:p w14:paraId="38C81E92">
      <w:pPr>
        <w:spacing w:before="0" w:after="0" w:line="560" w:lineRule="exact"/>
        <w:ind w:left="1760" w:leftChars="800"/>
        <w:jc w:val="left"/>
        <w:rPr>
          <w:sz w:val="24"/>
          <w:szCs w:val="24"/>
        </w:rPr>
      </w:pPr>
      <w:r>
        <w:rPr>
          <w:sz w:val="24"/>
          <w:szCs w:val="24"/>
        </w:rPr>
        <w:t xml:space="preserve">       </w:t>
      </w:r>
      <w:r>
        <w:rPr>
          <w:rFonts w:hint="eastAsia"/>
          <w:sz w:val="24"/>
          <w:szCs w:val="24"/>
          <w:lang w:val="en-US"/>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rPr>
        <w:t>日</w:t>
      </w:r>
    </w:p>
    <w:p w14:paraId="7C47001C">
      <w:pPr>
        <w:spacing w:before="0" w:after="0" w:line="560" w:lineRule="exact"/>
        <w:ind w:firstLine="480" w:firstLineChars="200"/>
        <w:jc w:val="left"/>
        <w:rPr>
          <w:sz w:val="24"/>
          <w:szCs w:val="24"/>
        </w:rPr>
      </w:pPr>
    </w:p>
    <w:p w14:paraId="439E5F7A"/>
    <w:p w14:paraId="2E40E79F"/>
    <w:p w14:paraId="4A17E39A">
      <w:r>
        <w:rPr>
          <w:rFonts w:hint="eastAsia"/>
        </w:rPr>
        <w:br w:type="page"/>
      </w:r>
    </w:p>
    <w:p w14:paraId="2752578F">
      <w:pPr>
        <w:spacing w:before="0" w:after="0" w:line="560" w:lineRule="exact"/>
        <w:jc w:val="center"/>
        <w:outlineLvl w:val="1"/>
        <w:rPr>
          <w:rFonts w:hint="eastAsia"/>
          <w:b/>
          <w:bCs/>
          <w:sz w:val="24"/>
          <w:szCs w:val="24"/>
        </w:rPr>
      </w:pPr>
      <w:bookmarkStart w:id="128" w:name="_Toc20155"/>
      <w:r>
        <w:rPr>
          <w:rFonts w:hint="eastAsia"/>
          <w:b/>
          <w:bCs/>
          <w:sz w:val="24"/>
          <w:szCs w:val="24"/>
        </w:rPr>
        <w:t>响</w:t>
      </w:r>
      <w:r>
        <w:rPr>
          <w:rFonts w:hint="eastAsia"/>
          <w:b/>
          <w:bCs/>
          <w:sz w:val="24"/>
          <w:szCs w:val="24"/>
          <w:lang w:val="en-US"/>
        </w:rPr>
        <w:t xml:space="preserve">  </w:t>
      </w:r>
      <w:r>
        <w:rPr>
          <w:rFonts w:hint="eastAsia"/>
          <w:b/>
          <w:bCs/>
          <w:sz w:val="24"/>
          <w:szCs w:val="24"/>
        </w:rPr>
        <w:t>应 函</w:t>
      </w:r>
      <w:bookmarkEnd w:id="128"/>
    </w:p>
    <w:p w14:paraId="141B81D7">
      <w:pPr>
        <w:spacing w:before="0" w:after="0" w:line="560" w:lineRule="exact"/>
        <w:ind w:firstLine="480" w:firstLineChars="200"/>
        <w:jc w:val="left"/>
        <w:rPr>
          <w:sz w:val="24"/>
          <w:szCs w:val="24"/>
        </w:rPr>
      </w:pPr>
      <w:r>
        <w:rPr>
          <w:rFonts w:hint="eastAsia"/>
          <w:sz w:val="24"/>
          <w:szCs w:val="24"/>
        </w:rPr>
        <w:t>致：淮北矿业（集团）工程建设有限责任公司 ：</w:t>
      </w:r>
    </w:p>
    <w:p w14:paraId="5D91198B">
      <w:pPr>
        <w:numPr>
          <w:ilvl w:val="0"/>
          <w:numId w:val="2"/>
        </w:numPr>
        <w:spacing w:before="0" w:after="0" w:line="560" w:lineRule="exact"/>
        <w:ind w:firstLine="480" w:firstLineChars="200"/>
        <w:jc w:val="both"/>
        <w:rPr>
          <w:rFonts w:hint="eastAsia"/>
          <w:sz w:val="24"/>
          <w:szCs w:val="24"/>
          <w:lang w:val="en-US" w:eastAsia="zh-CN"/>
        </w:rPr>
      </w:pPr>
      <w:r>
        <w:rPr>
          <w:rFonts w:hint="eastAsia"/>
          <w:sz w:val="24"/>
          <w:szCs w:val="24"/>
        </w:rPr>
        <w:t>我方研究了贵公司</w:t>
      </w:r>
      <w:r>
        <w:rPr>
          <w:rFonts w:hint="eastAsia"/>
          <w:sz w:val="24"/>
          <w:szCs w:val="24"/>
          <w:u w:val="single"/>
          <w:lang w:val="en-US"/>
        </w:rPr>
        <w:t xml:space="preserve"> </w:t>
      </w:r>
      <w:r>
        <w:rPr>
          <w:sz w:val="24"/>
          <w:szCs w:val="24"/>
          <w:highlight w:val="none"/>
          <w:u w:val="single"/>
        </w:rPr>
        <w:t xml:space="preserve"> </w:t>
      </w:r>
      <w:r>
        <w:rPr>
          <w:rFonts w:hint="eastAsia"/>
          <w:sz w:val="24"/>
          <w:szCs w:val="24"/>
          <w:highlight w:val="none"/>
          <w:u w:val="single"/>
        </w:rPr>
        <w:t>淮北矿业（集团）工程建设有限责任公司</w:t>
      </w:r>
      <w:r>
        <w:rPr>
          <w:rFonts w:hint="eastAsia"/>
          <w:sz w:val="24"/>
          <w:szCs w:val="24"/>
          <w:highlight w:val="none"/>
          <w:u w:val="single"/>
          <w:lang w:val="en-US" w:eastAsia="zh-CN"/>
        </w:rPr>
        <w:t>淮北高新区陶铝新材料产业园项目设计施工总承包冉邦地块北区</w:t>
      </w:r>
      <w:r>
        <w:rPr>
          <w:rFonts w:hint="eastAsia"/>
          <w:sz w:val="24"/>
          <w:szCs w:val="24"/>
          <w:highlight w:val="none"/>
          <w:u w:val="single"/>
        </w:rPr>
        <w:t>—</w:t>
      </w:r>
      <w:r>
        <w:rPr>
          <w:rFonts w:hint="eastAsia"/>
          <w:sz w:val="24"/>
          <w:szCs w:val="24"/>
          <w:highlight w:val="none"/>
          <w:u w:val="single"/>
          <w:lang w:val="en-US" w:eastAsia="zh-CN"/>
        </w:rPr>
        <w:t>电梯</w:t>
      </w:r>
      <w:r>
        <w:rPr>
          <w:rFonts w:hint="eastAsia"/>
          <w:sz w:val="24"/>
          <w:szCs w:val="24"/>
          <w:highlight w:val="none"/>
          <w:u w:val="single"/>
        </w:rPr>
        <w:t>询比采购</w:t>
      </w:r>
      <w:r>
        <w:rPr>
          <w:sz w:val="24"/>
          <w:szCs w:val="24"/>
          <w:highlight w:val="none"/>
          <w:u w:val="single"/>
        </w:rPr>
        <w:t xml:space="preserve"> </w:t>
      </w:r>
      <w:r>
        <w:rPr>
          <w:rFonts w:hint="eastAsia"/>
          <w:sz w:val="24"/>
          <w:szCs w:val="24"/>
          <w:highlight w:val="none"/>
          <w:u w:val="single"/>
          <w:lang w:val="en-US"/>
        </w:rPr>
        <w:t xml:space="preserve"> </w:t>
      </w:r>
      <w:r>
        <w:rPr>
          <w:rFonts w:hint="eastAsia"/>
          <w:sz w:val="24"/>
          <w:szCs w:val="24"/>
        </w:rPr>
        <w:t>（</w:t>
      </w:r>
      <w:r>
        <w:rPr>
          <w:rFonts w:hint="eastAsia"/>
          <w:sz w:val="24"/>
          <w:szCs w:val="24"/>
          <w:lang w:val="en-US"/>
        </w:rPr>
        <w:t>项目名称</w:t>
      </w:r>
      <w:r>
        <w:rPr>
          <w:rFonts w:hint="eastAsia"/>
          <w:sz w:val="24"/>
          <w:szCs w:val="24"/>
        </w:rPr>
        <w:t>）采购书，熟知现场情况和采购书的各项规定和要求，</w:t>
      </w:r>
      <w:r>
        <w:rPr>
          <w:rFonts w:hint="eastAsia"/>
          <w:sz w:val="24"/>
          <w:szCs w:val="24"/>
          <w:lang w:val="en-US" w:eastAsia="zh-CN"/>
        </w:rPr>
        <w:t>报价如下：不含税价为人民币（小写：</w:t>
      </w:r>
      <w:r>
        <w:rPr>
          <w:rFonts w:hint="eastAsia"/>
          <w:sz w:val="24"/>
          <w:szCs w:val="24"/>
          <w:u w:val="single"/>
          <w:lang w:val="en-US" w:eastAsia="zh-CN"/>
        </w:rPr>
        <w:t xml:space="preserve">               </w:t>
      </w:r>
      <w:r>
        <w:rPr>
          <w:rFonts w:hint="eastAsia"/>
          <w:sz w:val="24"/>
          <w:szCs w:val="24"/>
          <w:lang w:val="en-US" w:eastAsia="zh-CN"/>
        </w:rPr>
        <w:t xml:space="preserve"> 元）（大写：</w:t>
      </w:r>
      <w:r>
        <w:rPr>
          <w:rFonts w:hint="eastAsia"/>
          <w:sz w:val="24"/>
          <w:szCs w:val="24"/>
          <w:u w:val="single"/>
          <w:lang w:val="en-US" w:eastAsia="zh-CN"/>
        </w:rPr>
        <w:t xml:space="preserve">                  </w:t>
      </w:r>
      <w:r>
        <w:rPr>
          <w:rFonts w:hint="eastAsia"/>
          <w:sz w:val="24"/>
          <w:szCs w:val="24"/>
          <w:lang w:val="en-US" w:eastAsia="zh-CN"/>
        </w:rPr>
        <w:t>）。含税价为人民币（小写：</w:t>
      </w:r>
      <w:r>
        <w:rPr>
          <w:rFonts w:hint="eastAsia"/>
          <w:sz w:val="24"/>
          <w:szCs w:val="24"/>
          <w:u w:val="single"/>
          <w:lang w:val="en-US" w:eastAsia="zh-CN"/>
        </w:rPr>
        <w:t xml:space="preserve">           </w:t>
      </w:r>
      <w:r>
        <w:rPr>
          <w:rFonts w:hint="eastAsia"/>
          <w:sz w:val="24"/>
          <w:szCs w:val="24"/>
          <w:lang w:val="en-US" w:eastAsia="zh-CN"/>
        </w:rPr>
        <w:t>元）（大写：</w:t>
      </w:r>
      <w:r>
        <w:rPr>
          <w:rFonts w:hint="eastAsia"/>
          <w:sz w:val="24"/>
          <w:szCs w:val="24"/>
          <w:u w:val="single"/>
          <w:lang w:val="en-US" w:eastAsia="zh-CN"/>
        </w:rPr>
        <w:t xml:space="preserve">                </w:t>
      </w:r>
      <w:r>
        <w:rPr>
          <w:rFonts w:hint="eastAsia"/>
          <w:sz w:val="24"/>
          <w:szCs w:val="24"/>
          <w:lang w:val="en-US" w:eastAsia="zh-CN"/>
        </w:rPr>
        <w:t xml:space="preserve"> ），税率为 </w:t>
      </w:r>
      <w:r>
        <w:rPr>
          <w:rFonts w:hint="eastAsia"/>
          <w:sz w:val="24"/>
          <w:szCs w:val="24"/>
          <w:u w:val="single"/>
          <w:lang w:val="en-US" w:eastAsia="zh-CN"/>
        </w:rPr>
        <w:t xml:space="preserve"> 13  </w:t>
      </w:r>
      <w:r>
        <w:rPr>
          <w:rFonts w:hint="eastAsia"/>
          <w:sz w:val="24"/>
          <w:szCs w:val="24"/>
          <w:lang w:val="en-US" w:eastAsia="zh-CN"/>
        </w:rPr>
        <w:t xml:space="preserve"> %，交货期：按买受方要求。</w:t>
      </w:r>
    </w:p>
    <w:p w14:paraId="124110E5">
      <w:pPr>
        <w:numPr>
          <w:ilvl w:val="0"/>
          <w:numId w:val="2"/>
        </w:numPr>
        <w:spacing w:before="0" w:after="0" w:line="560" w:lineRule="exact"/>
        <w:ind w:firstLine="480" w:firstLineChars="200"/>
        <w:jc w:val="left"/>
        <w:rPr>
          <w:sz w:val="24"/>
          <w:szCs w:val="24"/>
        </w:rPr>
      </w:pPr>
      <w:r>
        <w:rPr>
          <w:rFonts w:hint="eastAsia"/>
          <w:sz w:val="24"/>
          <w:szCs w:val="24"/>
        </w:rPr>
        <w:t>完成本项目工程，并按合同约定履行义务。</w:t>
      </w:r>
    </w:p>
    <w:p w14:paraId="5F53A1F9">
      <w:pPr>
        <w:spacing w:before="0" w:after="0" w:line="560" w:lineRule="exact"/>
        <w:ind w:firstLine="480" w:firstLineChars="200"/>
        <w:jc w:val="left"/>
        <w:rPr>
          <w:sz w:val="24"/>
          <w:szCs w:val="24"/>
        </w:rPr>
      </w:pPr>
      <w:r>
        <w:rPr>
          <w:rFonts w:hint="eastAsia"/>
          <w:sz w:val="24"/>
          <w:szCs w:val="24"/>
          <w:lang w:val="en-US" w:eastAsia="zh-CN"/>
        </w:rPr>
        <w:t>3、</w:t>
      </w:r>
      <w:r>
        <w:rPr>
          <w:rFonts w:hint="eastAsia"/>
          <w:sz w:val="24"/>
          <w:szCs w:val="24"/>
        </w:rPr>
        <w:t>我方的响应文件包括下列内容:</w:t>
      </w:r>
    </w:p>
    <w:p w14:paraId="43E11487">
      <w:pPr>
        <w:spacing w:before="0" w:after="0" w:line="360" w:lineRule="auto"/>
        <w:ind w:firstLine="480" w:firstLineChars="200"/>
        <w:jc w:val="left"/>
        <w:rPr>
          <w:sz w:val="24"/>
          <w:szCs w:val="24"/>
        </w:rPr>
      </w:pPr>
      <w:r>
        <w:rPr>
          <w:rFonts w:hint="eastAsia"/>
          <w:sz w:val="24"/>
          <w:szCs w:val="24"/>
        </w:rPr>
        <w:t>(1)</w:t>
      </w:r>
      <w:r>
        <w:rPr>
          <w:rFonts w:hint="eastAsia"/>
          <w:sz w:val="24"/>
          <w:szCs w:val="24"/>
          <w:lang w:val="en-US" w:eastAsia="zh-CN"/>
        </w:rPr>
        <w:t>法定代表人身份证明</w:t>
      </w:r>
      <w:r>
        <w:rPr>
          <w:rFonts w:hint="eastAsia"/>
          <w:sz w:val="24"/>
          <w:szCs w:val="24"/>
        </w:rPr>
        <w:t>;</w:t>
      </w:r>
    </w:p>
    <w:p w14:paraId="6DB8730D">
      <w:pPr>
        <w:spacing w:before="0" w:after="0" w:line="360" w:lineRule="auto"/>
        <w:ind w:firstLine="480" w:firstLineChars="200"/>
        <w:jc w:val="left"/>
        <w:rPr>
          <w:sz w:val="24"/>
          <w:szCs w:val="24"/>
        </w:rPr>
      </w:pPr>
      <w:r>
        <w:rPr>
          <w:rFonts w:hint="eastAsia"/>
          <w:sz w:val="24"/>
          <w:szCs w:val="24"/>
        </w:rPr>
        <w:t>(2)法定代表人授权委托书（如需）;</w:t>
      </w:r>
    </w:p>
    <w:p w14:paraId="0979B740">
      <w:pPr>
        <w:spacing w:before="0" w:after="0" w:line="360" w:lineRule="auto"/>
        <w:ind w:firstLine="480" w:firstLineChars="200"/>
        <w:jc w:val="left"/>
        <w:rPr>
          <w:sz w:val="24"/>
          <w:szCs w:val="24"/>
        </w:rPr>
      </w:pPr>
      <w:r>
        <w:rPr>
          <w:rFonts w:hint="eastAsia"/>
          <w:sz w:val="24"/>
          <w:szCs w:val="24"/>
        </w:rPr>
        <w:t>(</w:t>
      </w:r>
      <w:r>
        <w:rPr>
          <w:rFonts w:hint="eastAsia"/>
          <w:sz w:val="24"/>
          <w:szCs w:val="24"/>
          <w:lang w:val="en-US" w:eastAsia="zh-CN"/>
        </w:rPr>
        <w:t>3</w:t>
      </w:r>
      <w:r>
        <w:rPr>
          <w:rFonts w:hint="eastAsia"/>
          <w:sz w:val="24"/>
          <w:szCs w:val="24"/>
        </w:rPr>
        <w:t>)</w:t>
      </w:r>
      <w:r>
        <w:rPr>
          <w:rFonts w:hint="eastAsia"/>
          <w:sz w:val="24"/>
          <w:szCs w:val="24"/>
          <w:lang w:val="en-US" w:eastAsia="zh-CN"/>
        </w:rPr>
        <w:t>响应函</w:t>
      </w:r>
      <w:r>
        <w:rPr>
          <w:rFonts w:hint="eastAsia"/>
          <w:sz w:val="24"/>
          <w:szCs w:val="24"/>
        </w:rPr>
        <w:t>；</w:t>
      </w:r>
    </w:p>
    <w:p w14:paraId="3B303971">
      <w:pPr>
        <w:spacing w:before="0" w:after="0" w:line="360" w:lineRule="auto"/>
        <w:ind w:firstLine="480" w:firstLineChars="200"/>
        <w:jc w:val="left"/>
        <w:rPr>
          <w:sz w:val="24"/>
          <w:szCs w:val="24"/>
        </w:rPr>
      </w:pPr>
      <w:r>
        <w:rPr>
          <w:rFonts w:hint="eastAsia"/>
          <w:sz w:val="24"/>
          <w:szCs w:val="24"/>
        </w:rPr>
        <w:t>(</w:t>
      </w:r>
      <w:r>
        <w:rPr>
          <w:rFonts w:hint="eastAsia"/>
          <w:sz w:val="24"/>
          <w:szCs w:val="24"/>
          <w:lang w:val="en-US" w:eastAsia="zh-CN"/>
        </w:rPr>
        <w:t>4</w:t>
      </w:r>
      <w:r>
        <w:rPr>
          <w:rFonts w:hint="eastAsia"/>
          <w:sz w:val="24"/>
          <w:szCs w:val="24"/>
        </w:rPr>
        <w:t>)报价表；</w:t>
      </w:r>
    </w:p>
    <w:p w14:paraId="068D9EA9">
      <w:pPr>
        <w:spacing w:before="0" w:after="0" w:line="360" w:lineRule="auto"/>
        <w:ind w:firstLine="480" w:firstLineChars="200"/>
        <w:jc w:val="left"/>
        <w:rPr>
          <w:rFonts w:hint="eastAsia" w:eastAsiaTheme="minorEastAsia"/>
          <w:sz w:val="24"/>
          <w:szCs w:val="24"/>
          <w:lang w:eastAsia="zh-CN"/>
        </w:rPr>
      </w:pPr>
      <w:r>
        <w:rPr>
          <w:rFonts w:hint="eastAsia"/>
          <w:sz w:val="24"/>
          <w:szCs w:val="24"/>
        </w:rPr>
        <w:t>(</w:t>
      </w:r>
      <w:r>
        <w:rPr>
          <w:rFonts w:hint="eastAsia"/>
          <w:sz w:val="24"/>
          <w:szCs w:val="24"/>
          <w:lang w:val="en-US" w:eastAsia="zh-CN"/>
        </w:rPr>
        <w:t>5</w:t>
      </w:r>
      <w:r>
        <w:rPr>
          <w:rFonts w:hint="eastAsia"/>
          <w:sz w:val="24"/>
          <w:szCs w:val="24"/>
        </w:rPr>
        <w:t>)资格审查资料</w:t>
      </w:r>
      <w:r>
        <w:rPr>
          <w:rFonts w:hint="eastAsia"/>
          <w:sz w:val="24"/>
          <w:szCs w:val="24"/>
          <w:lang w:eastAsia="zh-CN"/>
        </w:rPr>
        <w:t>；</w:t>
      </w:r>
    </w:p>
    <w:p w14:paraId="038AF1AD">
      <w:pPr>
        <w:spacing w:before="0" w:after="0" w:line="360" w:lineRule="auto"/>
        <w:ind w:firstLine="480" w:firstLineChars="200"/>
        <w:jc w:val="left"/>
        <w:rPr>
          <w:rFonts w:hint="eastAsia" w:eastAsiaTheme="minorEastAsia"/>
          <w:sz w:val="24"/>
          <w:szCs w:val="24"/>
          <w:lang w:eastAsia="zh-CN"/>
        </w:rPr>
      </w:pPr>
      <w:r>
        <w:rPr>
          <w:rFonts w:hint="eastAsia"/>
          <w:sz w:val="24"/>
          <w:szCs w:val="24"/>
        </w:rPr>
        <w:t>(</w:t>
      </w:r>
      <w:r>
        <w:rPr>
          <w:rFonts w:hint="eastAsia"/>
          <w:sz w:val="24"/>
          <w:szCs w:val="24"/>
          <w:lang w:val="en-US" w:eastAsia="zh-CN"/>
        </w:rPr>
        <w:t>6</w:t>
      </w:r>
      <w:r>
        <w:rPr>
          <w:rFonts w:hint="eastAsia"/>
          <w:sz w:val="24"/>
          <w:szCs w:val="24"/>
        </w:rPr>
        <w:t>)</w:t>
      </w:r>
      <w:r>
        <w:rPr>
          <w:rFonts w:hint="eastAsia"/>
          <w:sz w:val="24"/>
          <w:szCs w:val="24"/>
          <w:lang w:val="en-US"/>
        </w:rPr>
        <w:t>业绩证明文件</w:t>
      </w:r>
      <w:r>
        <w:rPr>
          <w:rFonts w:hint="eastAsia"/>
          <w:sz w:val="24"/>
          <w:szCs w:val="24"/>
          <w:lang w:eastAsia="zh-CN"/>
        </w:rPr>
        <w:t>；</w:t>
      </w:r>
    </w:p>
    <w:p w14:paraId="2E43F437">
      <w:pPr>
        <w:pStyle w:val="2"/>
        <w:spacing w:line="360" w:lineRule="auto"/>
        <w:ind w:left="0" w:leftChars="0" w:firstLine="480" w:firstLineChars="0"/>
        <w:rPr>
          <w:rFonts w:hint="eastAsia" w:eastAsiaTheme="minorEastAsia"/>
          <w:sz w:val="24"/>
          <w:szCs w:val="24"/>
          <w:lang w:eastAsia="zh-CN"/>
        </w:rPr>
      </w:pPr>
      <w:r>
        <w:rPr>
          <w:rFonts w:hint="eastAsia"/>
          <w:sz w:val="24"/>
          <w:szCs w:val="24"/>
        </w:rPr>
        <w:t>(</w:t>
      </w:r>
      <w:r>
        <w:rPr>
          <w:rFonts w:hint="eastAsia"/>
          <w:sz w:val="24"/>
          <w:szCs w:val="24"/>
          <w:lang w:val="en-US" w:eastAsia="zh-CN"/>
        </w:rPr>
        <w:t>7</w:t>
      </w:r>
      <w:r>
        <w:rPr>
          <w:rFonts w:hint="eastAsia"/>
          <w:sz w:val="24"/>
          <w:szCs w:val="24"/>
        </w:rPr>
        <w:t>)响应保证金</w:t>
      </w:r>
      <w:r>
        <w:rPr>
          <w:rFonts w:hint="eastAsia"/>
          <w:sz w:val="24"/>
          <w:szCs w:val="24"/>
          <w:lang w:eastAsia="zh-CN"/>
        </w:rPr>
        <w:t>；</w:t>
      </w:r>
    </w:p>
    <w:p w14:paraId="72796862">
      <w:pPr>
        <w:pStyle w:val="2"/>
        <w:spacing w:line="360" w:lineRule="auto"/>
        <w:ind w:left="0" w:leftChars="0" w:firstLine="480" w:firstLineChars="0"/>
        <w:rPr>
          <w:rFonts w:hint="eastAsia"/>
          <w:sz w:val="24"/>
          <w:szCs w:val="24"/>
          <w:lang w:val="en-US" w:eastAsia="zh-CN"/>
        </w:rPr>
      </w:pPr>
      <w:r>
        <w:rPr>
          <w:rFonts w:hint="eastAsia"/>
          <w:sz w:val="24"/>
          <w:szCs w:val="24"/>
        </w:rPr>
        <w:t>(</w:t>
      </w:r>
      <w:r>
        <w:rPr>
          <w:rFonts w:hint="eastAsia"/>
          <w:sz w:val="24"/>
          <w:szCs w:val="24"/>
          <w:lang w:val="en-US" w:eastAsia="zh-CN"/>
        </w:rPr>
        <w:t>8</w:t>
      </w:r>
      <w:r>
        <w:rPr>
          <w:rFonts w:hint="eastAsia"/>
          <w:sz w:val="24"/>
          <w:szCs w:val="24"/>
        </w:rPr>
        <w:t>)</w:t>
      </w:r>
      <w:r>
        <w:rPr>
          <w:rFonts w:hint="eastAsia"/>
          <w:sz w:val="24"/>
          <w:szCs w:val="24"/>
          <w:lang w:val="en-US" w:eastAsia="zh-CN"/>
        </w:rPr>
        <w:t>质量承诺书；</w:t>
      </w:r>
    </w:p>
    <w:p w14:paraId="67780DDC">
      <w:pPr>
        <w:pStyle w:val="2"/>
        <w:spacing w:line="360" w:lineRule="auto"/>
        <w:ind w:left="0" w:leftChars="0" w:firstLine="480" w:firstLineChars="0"/>
        <w:rPr>
          <w:rFonts w:hint="default" w:eastAsiaTheme="minorEastAsia"/>
          <w:sz w:val="24"/>
          <w:szCs w:val="24"/>
          <w:lang w:val="en-US" w:eastAsia="zh-CN"/>
        </w:rPr>
      </w:pPr>
      <w:r>
        <w:rPr>
          <w:rFonts w:hint="eastAsia"/>
          <w:sz w:val="24"/>
          <w:szCs w:val="24"/>
        </w:rPr>
        <w:t>(</w:t>
      </w:r>
      <w:r>
        <w:rPr>
          <w:rFonts w:hint="eastAsia"/>
          <w:sz w:val="24"/>
          <w:szCs w:val="24"/>
          <w:lang w:val="en-US" w:eastAsia="zh-CN"/>
        </w:rPr>
        <w:t>9</w:t>
      </w:r>
      <w:r>
        <w:rPr>
          <w:rFonts w:hint="eastAsia"/>
          <w:sz w:val="24"/>
          <w:szCs w:val="24"/>
        </w:rPr>
        <w:t>)</w:t>
      </w:r>
      <w:r>
        <w:rPr>
          <w:rFonts w:hint="eastAsia"/>
          <w:sz w:val="24"/>
          <w:szCs w:val="24"/>
          <w:lang w:val="en-US" w:eastAsia="zh-CN"/>
        </w:rPr>
        <w:t>信用中国；</w:t>
      </w:r>
    </w:p>
    <w:p w14:paraId="1A343D76">
      <w:pPr>
        <w:spacing w:before="0" w:after="0" w:line="560" w:lineRule="exact"/>
        <w:ind w:firstLine="480" w:firstLineChars="200"/>
        <w:jc w:val="left"/>
        <w:rPr>
          <w:sz w:val="24"/>
          <w:szCs w:val="24"/>
        </w:rPr>
      </w:pPr>
      <w:r>
        <w:rPr>
          <w:rFonts w:hint="eastAsia"/>
          <w:sz w:val="24"/>
          <w:szCs w:val="24"/>
        </w:rPr>
        <w:t>......</w:t>
      </w:r>
    </w:p>
    <w:p w14:paraId="72F12B9B">
      <w:pPr>
        <w:spacing w:before="0" w:after="0" w:line="560" w:lineRule="exact"/>
        <w:ind w:firstLine="480" w:firstLineChars="200"/>
        <w:jc w:val="left"/>
        <w:rPr>
          <w:sz w:val="24"/>
          <w:szCs w:val="24"/>
        </w:rPr>
      </w:pPr>
      <w:r>
        <w:rPr>
          <w:rFonts w:hint="eastAsia"/>
          <w:sz w:val="24"/>
          <w:szCs w:val="24"/>
        </w:rPr>
        <w:t>响应文件的上述组成部分如存在内容不一致的，以响应函为准。</w:t>
      </w:r>
    </w:p>
    <w:p w14:paraId="75EAF7A7">
      <w:pPr>
        <w:spacing w:before="0" w:after="0" w:line="560" w:lineRule="exact"/>
        <w:ind w:firstLine="480" w:firstLineChars="200"/>
        <w:jc w:val="left"/>
        <w:rPr>
          <w:sz w:val="24"/>
          <w:szCs w:val="24"/>
        </w:rPr>
      </w:pPr>
      <w:r>
        <w:rPr>
          <w:rFonts w:hint="eastAsia"/>
          <w:sz w:val="24"/>
          <w:szCs w:val="24"/>
        </w:rPr>
        <w:t>3.我方响应采购文件的全部要求。</w:t>
      </w:r>
    </w:p>
    <w:p w14:paraId="28B1E3A2">
      <w:pPr>
        <w:spacing w:before="0" w:after="0" w:line="560" w:lineRule="exact"/>
        <w:ind w:firstLine="480" w:firstLineChars="200"/>
        <w:jc w:val="left"/>
        <w:rPr>
          <w:sz w:val="24"/>
          <w:szCs w:val="24"/>
        </w:rPr>
      </w:pPr>
      <w:r>
        <w:rPr>
          <w:rFonts w:hint="eastAsia"/>
          <w:sz w:val="24"/>
          <w:szCs w:val="24"/>
        </w:rPr>
        <w:t>4.我方承诺在采购文件规定的响应文件有效期内不撤销响应文件。</w:t>
      </w:r>
    </w:p>
    <w:p w14:paraId="3B5F5DC4">
      <w:pPr>
        <w:spacing w:before="0" w:after="0" w:line="560" w:lineRule="exact"/>
        <w:ind w:firstLine="480" w:firstLineChars="200"/>
        <w:jc w:val="left"/>
        <w:rPr>
          <w:sz w:val="24"/>
          <w:szCs w:val="24"/>
        </w:rPr>
      </w:pPr>
      <w:r>
        <w:rPr>
          <w:rFonts w:hint="eastAsia"/>
          <w:sz w:val="24"/>
          <w:szCs w:val="24"/>
        </w:rPr>
        <w:t>5.如我方成交，我方承诺：</w:t>
      </w:r>
    </w:p>
    <w:p w14:paraId="3134D2CF">
      <w:pPr>
        <w:spacing w:before="0" w:after="0" w:line="560" w:lineRule="exact"/>
        <w:ind w:firstLine="480" w:firstLineChars="200"/>
        <w:jc w:val="left"/>
        <w:rPr>
          <w:sz w:val="24"/>
          <w:szCs w:val="24"/>
        </w:rPr>
      </w:pPr>
      <w:r>
        <w:rPr>
          <w:rFonts w:hint="eastAsia"/>
          <w:sz w:val="24"/>
          <w:szCs w:val="24"/>
        </w:rPr>
        <w:t>（</w:t>
      </w:r>
      <w:r>
        <w:rPr>
          <w:rFonts w:hint="eastAsia"/>
          <w:sz w:val="24"/>
          <w:szCs w:val="24"/>
          <w:lang w:val="en-US"/>
        </w:rPr>
        <w:t>1</w:t>
      </w:r>
      <w:r>
        <w:rPr>
          <w:rFonts w:hint="eastAsia"/>
          <w:sz w:val="24"/>
          <w:szCs w:val="24"/>
        </w:rPr>
        <w:t>）在收到成交通知书后，在成交通知书规定的期限内与你方签订合同;</w:t>
      </w:r>
    </w:p>
    <w:p w14:paraId="66D92FD6">
      <w:pPr>
        <w:spacing w:before="0" w:after="0" w:line="560" w:lineRule="exact"/>
        <w:ind w:firstLine="480" w:firstLineChars="200"/>
        <w:jc w:val="left"/>
        <w:rPr>
          <w:sz w:val="24"/>
          <w:szCs w:val="24"/>
        </w:rPr>
      </w:pPr>
      <w:r>
        <w:rPr>
          <w:rFonts w:hint="eastAsia"/>
          <w:sz w:val="24"/>
          <w:szCs w:val="24"/>
        </w:rPr>
        <w:t>（</w:t>
      </w:r>
      <w:r>
        <w:rPr>
          <w:rFonts w:hint="eastAsia"/>
          <w:sz w:val="24"/>
          <w:szCs w:val="24"/>
          <w:lang w:val="en-US"/>
        </w:rPr>
        <w:t>2</w:t>
      </w:r>
      <w:r>
        <w:rPr>
          <w:rFonts w:hint="eastAsia"/>
          <w:sz w:val="24"/>
          <w:szCs w:val="24"/>
        </w:rPr>
        <w:t>）在签订合同时不向你方提出附加条件;</w:t>
      </w:r>
    </w:p>
    <w:p w14:paraId="59924F21">
      <w:pPr>
        <w:spacing w:before="0" w:after="0" w:line="560" w:lineRule="exact"/>
        <w:ind w:firstLine="480" w:firstLineChars="200"/>
        <w:jc w:val="left"/>
        <w:rPr>
          <w:sz w:val="24"/>
          <w:szCs w:val="24"/>
        </w:rPr>
      </w:pPr>
      <w:r>
        <w:rPr>
          <w:rFonts w:hint="eastAsia"/>
          <w:sz w:val="24"/>
          <w:szCs w:val="24"/>
        </w:rPr>
        <w:t>（</w:t>
      </w:r>
      <w:r>
        <w:rPr>
          <w:rFonts w:hint="eastAsia"/>
          <w:sz w:val="24"/>
          <w:szCs w:val="24"/>
          <w:lang w:val="en-US"/>
        </w:rPr>
        <w:t>3</w:t>
      </w:r>
      <w:r>
        <w:rPr>
          <w:rFonts w:hint="eastAsia"/>
          <w:sz w:val="24"/>
          <w:szCs w:val="24"/>
        </w:rPr>
        <w:t>）按照采购文件要求递交履约保证金;</w:t>
      </w:r>
    </w:p>
    <w:p w14:paraId="4FC406A7">
      <w:pPr>
        <w:spacing w:before="0" w:after="0" w:line="560" w:lineRule="exact"/>
        <w:ind w:firstLine="480" w:firstLineChars="200"/>
        <w:jc w:val="left"/>
        <w:rPr>
          <w:sz w:val="24"/>
          <w:szCs w:val="24"/>
        </w:rPr>
      </w:pPr>
      <w:r>
        <w:rPr>
          <w:rFonts w:hint="eastAsia"/>
          <w:sz w:val="24"/>
          <w:szCs w:val="24"/>
        </w:rPr>
        <w:t>（</w:t>
      </w:r>
      <w:r>
        <w:rPr>
          <w:rFonts w:hint="eastAsia"/>
          <w:sz w:val="24"/>
          <w:szCs w:val="24"/>
          <w:lang w:val="en-US"/>
        </w:rPr>
        <w:t>4</w:t>
      </w:r>
      <w:r>
        <w:rPr>
          <w:rFonts w:hint="eastAsia"/>
          <w:sz w:val="24"/>
          <w:szCs w:val="24"/>
        </w:rPr>
        <w:t>）在合同约定的期限内完成合同规定的全部义务。</w:t>
      </w:r>
    </w:p>
    <w:p w14:paraId="0B5555CA">
      <w:pPr>
        <w:spacing w:before="0" w:after="0" w:line="560" w:lineRule="exact"/>
        <w:ind w:firstLine="480" w:firstLineChars="200"/>
        <w:jc w:val="left"/>
        <w:rPr>
          <w:sz w:val="24"/>
          <w:szCs w:val="24"/>
        </w:rPr>
      </w:pPr>
      <w:r>
        <w:rPr>
          <w:rFonts w:hint="eastAsia"/>
          <w:sz w:val="24"/>
          <w:szCs w:val="24"/>
          <w:lang w:val="en-US" w:eastAsia="zh-CN"/>
        </w:rPr>
        <w:t>5</w:t>
      </w:r>
      <w:r>
        <w:rPr>
          <w:rFonts w:hint="eastAsia"/>
          <w:sz w:val="24"/>
          <w:szCs w:val="24"/>
        </w:rPr>
        <w:t>. 我方在此声明，所递交的响应文件及有关资料内容完整、真实和准确，且不存在第一章“询比采购公告/询比采购邀请书”中规定的供应商不得存在的情形。我方同意并接受采购书规定的全部条件并进行报价。愿意承担该工程项目相关的</w:t>
      </w:r>
      <w:r>
        <w:rPr>
          <w:rFonts w:hint="eastAsia"/>
          <w:sz w:val="24"/>
          <w:szCs w:val="24"/>
          <w:lang w:eastAsia="zh-CN"/>
        </w:rPr>
        <w:t>供货</w:t>
      </w:r>
      <w:r>
        <w:rPr>
          <w:rFonts w:hint="eastAsia"/>
          <w:sz w:val="24"/>
          <w:szCs w:val="24"/>
        </w:rPr>
        <w:t xml:space="preserve">任务；坚决履行采购书中对报价人所规定的全部要求和应承担的义务。   </w:t>
      </w:r>
    </w:p>
    <w:p w14:paraId="2CC4F4B1">
      <w:pPr>
        <w:spacing w:before="0" w:after="0" w:line="560" w:lineRule="exact"/>
        <w:ind w:firstLine="480" w:firstLineChars="200"/>
        <w:jc w:val="left"/>
        <w:rPr>
          <w:sz w:val="24"/>
          <w:szCs w:val="24"/>
        </w:rPr>
      </w:pPr>
      <w:r>
        <w:rPr>
          <w:rFonts w:hint="eastAsia"/>
          <w:sz w:val="24"/>
          <w:szCs w:val="24"/>
          <w:lang w:val="en-US" w:eastAsia="zh-CN"/>
        </w:rPr>
        <w:t>6</w:t>
      </w:r>
      <w:r>
        <w:rPr>
          <w:rFonts w:hint="eastAsia"/>
          <w:sz w:val="24"/>
          <w:szCs w:val="24"/>
          <w:lang w:val="en-US"/>
        </w:rPr>
        <w:t xml:space="preserve">. </w:t>
      </w:r>
      <w:r>
        <w:rPr>
          <w:rFonts w:hint="eastAsia"/>
          <w:sz w:val="24"/>
          <w:szCs w:val="24"/>
          <w:u w:val="single"/>
          <w:lang w:val="en-US"/>
        </w:rPr>
        <w:t xml:space="preserve">                         </w:t>
      </w:r>
      <w:r>
        <w:rPr>
          <w:rFonts w:hint="eastAsia"/>
          <w:sz w:val="24"/>
          <w:szCs w:val="24"/>
          <w:lang w:val="en-US"/>
        </w:rPr>
        <w:t>(其他补充说明)。</w:t>
      </w:r>
    </w:p>
    <w:p w14:paraId="7407692B">
      <w:pPr>
        <w:spacing w:before="0" w:after="0" w:line="560" w:lineRule="exact"/>
        <w:ind w:firstLine="480" w:firstLineChars="200"/>
        <w:jc w:val="left"/>
        <w:rPr>
          <w:sz w:val="24"/>
          <w:szCs w:val="24"/>
        </w:rPr>
      </w:pPr>
    </w:p>
    <w:p w14:paraId="055C1CAE">
      <w:pPr>
        <w:spacing w:before="0" w:after="0" w:line="560" w:lineRule="exact"/>
        <w:ind w:firstLine="480" w:firstLineChars="200"/>
        <w:jc w:val="left"/>
        <w:rPr>
          <w:sz w:val="24"/>
          <w:szCs w:val="24"/>
        </w:rPr>
      </w:pPr>
    </w:p>
    <w:p w14:paraId="4E55B495">
      <w:pPr>
        <w:spacing w:before="0" w:after="0" w:line="560" w:lineRule="exact"/>
        <w:ind w:left="1760" w:leftChars="800"/>
        <w:jc w:val="left"/>
        <w:rPr>
          <w:sz w:val="24"/>
          <w:szCs w:val="24"/>
          <w:u w:val="single"/>
          <w:lang w:val="en-US"/>
        </w:rPr>
      </w:pPr>
      <w:r>
        <w:rPr>
          <w:rFonts w:hint="eastAsia"/>
          <w:sz w:val="24"/>
          <w:szCs w:val="24"/>
        </w:rPr>
        <w:t>供应商（公章）：</w:t>
      </w:r>
      <w:r>
        <w:rPr>
          <w:rFonts w:hint="eastAsia"/>
          <w:sz w:val="24"/>
          <w:szCs w:val="24"/>
          <w:u w:val="single"/>
          <w:lang w:val="en-US"/>
        </w:rPr>
        <w:t xml:space="preserve">                         </w:t>
      </w:r>
    </w:p>
    <w:p w14:paraId="33C87503">
      <w:pPr>
        <w:spacing w:before="0" w:after="0" w:line="560" w:lineRule="exact"/>
        <w:ind w:left="1760" w:leftChars="800"/>
        <w:jc w:val="left"/>
        <w:rPr>
          <w:sz w:val="24"/>
          <w:szCs w:val="24"/>
        </w:rPr>
      </w:pPr>
      <w:r>
        <w:rPr>
          <w:rFonts w:hint="eastAsia"/>
          <w:sz w:val="24"/>
          <w:szCs w:val="24"/>
        </w:rPr>
        <w:t>法定代表人</w:t>
      </w:r>
    </w:p>
    <w:p w14:paraId="0DE0BC10">
      <w:pPr>
        <w:spacing w:before="0" w:after="0" w:line="560" w:lineRule="exact"/>
        <w:ind w:left="1760" w:leftChars="800"/>
        <w:jc w:val="left"/>
        <w:rPr>
          <w:sz w:val="24"/>
          <w:szCs w:val="24"/>
          <w:u w:val="single"/>
          <w:lang w:val="en-US"/>
        </w:rPr>
      </w:pPr>
      <w:r>
        <w:rPr>
          <w:rFonts w:hint="eastAsia"/>
          <w:sz w:val="24"/>
          <w:szCs w:val="24"/>
        </w:rPr>
        <w:t>或授权代表（签字或盖章）：</w:t>
      </w:r>
      <w:r>
        <w:rPr>
          <w:rFonts w:hint="eastAsia"/>
          <w:sz w:val="24"/>
          <w:szCs w:val="24"/>
          <w:u w:val="single"/>
          <w:lang w:val="en-US"/>
        </w:rPr>
        <w:t xml:space="preserve">               </w:t>
      </w:r>
    </w:p>
    <w:p w14:paraId="60FCE099">
      <w:pPr>
        <w:spacing w:before="0" w:after="0" w:line="560" w:lineRule="exact"/>
        <w:ind w:left="1760" w:leftChars="800" w:firstLine="960" w:firstLineChars="400"/>
        <w:jc w:val="left"/>
        <w:rPr>
          <w:sz w:val="24"/>
          <w:szCs w:val="24"/>
          <w:lang w:val="en-US"/>
        </w:rPr>
        <w:sectPr>
          <w:pgSz w:w="11906" w:h="16838"/>
          <w:pgMar w:top="1134" w:right="1134" w:bottom="1134" w:left="1247" w:header="851" w:footer="992" w:gutter="0"/>
          <w:pgNumType w:fmt="decimal"/>
          <w:cols w:space="0" w:num="1"/>
          <w:docGrid w:type="lines" w:linePitch="317" w:charSpace="0"/>
        </w:sectPr>
      </w:pPr>
      <w:r>
        <w:rPr>
          <w:rFonts w:hint="eastAsia"/>
          <w:sz w:val="24"/>
          <w:szCs w:val="24"/>
          <w:lang w:val="en-US"/>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rPr>
        <w:t>日</w:t>
      </w:r>
      <w:r>
        <w:rPr>
          <w:rFonts w:hint="eastAsia"/>
          <w:sz w:val="24"/>
          <w:szCs w:val="24"/>
          <w:lang w:val="en-US"/>
        </w:rPr>
        <w:t xml:space="preserve">   </w:t>
      </w:r>
    </w:p>
    <w:p w14:paraId="710BF262">
      <w:pPr>
        <w:spacing w:before="0" w:after="0" w:line="560" w:lineRule="exact"/>
        <w:jc w:val="center"/>
        <w:outlineLvl w:val="1"/>
        <w:rPr>
          <w:rFonts w:hint="eastAsia"/>
          <w:b/>
          <w:bCs/>
          <w:sz w:val="32"/>
          <w:szCs w:val="32"/>
          <w:lang w:val="en-US" w:eastAsia="zh-CN"/>
        </w:rPr>
      </w:pPr>
      <w:bookmarkStart w:id="129" w:name="_Toc1053"/>
      <w:r>
        <w:rPr>
          <w:rFonts w:hint="eastAsia"/>
          <w:b/>
          <w:bCs/>
          <w:sz w:val="32"/>
          <w:szCs w:val="32"/>
          <w:lang w:val="en-US" w:eastAsia="zh-CN"/>
        </w:rPr>
        <w:t>报  价  表</w:t>
      </w:r>
      <w:bookmarkEnd w:id="129"/>
    </w:p>
    <w:tbl>
      <w:tblPr>
        <w:tblStyle w:val="21"/>
        <w:tblW w:w="153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8"/>
        <w:gridCol w:w="2177"/>
        <w:gridCol w:w="3944"/>
        <w:gridCol w:w="1238"/>
        <w:gridCol w:w="1256"/>
        <w:gridCol w:w="1413"/>
        <w:gridCol w:w="1534"/>
        <w:gridCol w:w="1470"/>
        <w:gridCol w:w="1470"/>
      </w:tblGrid>
      <w:tr w14:paraId="51B0C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trPr>
        <w:tc>
          <w:tcPr>
            <w:tcW w:w="828" w:type="dxa"/>
            <w:vMerge w:val="restart"/>
            <w:tcBorders>
              <w:top w:val="single" w:color="000000" w:sz="4" w:space="0"/>
              <w:left w:val="single" w:color="000000" w:sz="4" w:space="0"/>
              <w:right w:val="single" w:color="000000" w:sz="4" w:space="0"/>
            </w:tcBorders>
            <w:shd w:val="clear" w:color="auto" w:fill="auto"/>
            <w:vAlign w:val="center"/>
          </w:tcPr>
          <w:p w14:paraId="7BB8E753">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序号</w:t>
            </w:r>
          </w:p>
        </w:tc>
        <w:tc>
          <w:tcPr>
            <w:tcW w:w="2177" w:type="dxa"/>
            <w:vMerge w:val="restart"/>
            <w:tcBorders>
              <w:top w:val="single" w:color="000000" w:sz="4" w:space="0"/>
              <w:left w:val="single" w:color="000000" w:sz="4" w:space="0"/>
              <w:right w:val="single" w:color="000000" w:sz="4" w:space="0"/>
            </w:tcBorders>
            <w:shd w:val="clear" w:color="auto" w:fill="auto"/>
            <w:vAlign w:val="center"/>
          </w:tcPr>
          <w:p w14:paraId="0C065966">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材料名称</w:t>
            </w:r>
          </w:p>
        </w:tc>
        <w:tc>
          <w:tcPr>
            <w:tcW w:w="3944" w:type="dxa"/>
            <w:vMerge w:val="restart"/>
            <w:tcBorders>
              <w:top w:val="single" w:color="000000" w:sz="4" w:space="0"/>
              <w:left w:val="single" w:color="000000" w:sz="4" w:space="0"/>
              <w:right w:val="single" w:color="000000" w:sz="4" w:space="0"/>
            </w:tcBorders>
            <w:shd w:val="clear" w:color="auto" w:fill="auto"/>
            <w:vAlign w:val="center"/>
          </w:tcPr>
          <w:p w14:paraId="7BD3E9EB">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color w:val="auto"/>
                <w:kern w:val="0"/>
                <w:sz w:val="22"/>
                <w:szCs w:val="22"/>
                <w:u w:val="none"/>
                <w:lang w:val="en-US" w:eastAsia="zh-CN" w:bidi="ar"/>
              </w:rPr>
              <w:t>规格及型号</w:t>
            </w:r>
          </w:p>
        </w:tc>
        <w:tc>
          <w:tcPr>
            <w:tcW w:w="1238" w:type="dxa"/>
            <w:vMerge w:val="restart"/>
            <w:tcBorders>
              <w:top w:val="single" w:color="000000" w:sz="4" w:space="0"/>
              <w:left w:val="single" w:color="000000" w:sz="4" w:space="0"/>
              <w:right w:val="single" w:color="000000" w:sz="4" w:space="0"/>
            </w:tcBorders>
            <w:shd w:val="clear" w:color="auto" w:fill="auto"/>
            <w:vAlign w:val="center"/>
          </w:tcPr>
          <w:p w14:paraId="3EB45A50">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单位</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14:paraId="62D3A086">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数量</w:t>
            </w:r>
          </w:p>
        </w:tc>
        <w:tc>
          <w:tcPr>
            <w:tcW w:w="1413" w:type="dxa"/>
            <w:vMerge w:val="restart"/>
            <w:tcBorders>
              <w:top w:val="single" w:color="000000" w:sz="4" w:space="0"/>
              <w:left w:val="single" w:color="000000" w:sz="4" w:space="0"/>
              <w:right w:val="single" w:color="000000" w:sz="4" w:space="0"/>
            </w:tcBorders>
            <w:shd w:val="clear" w:color="auto" w:fill="auto"/>
            <w:vAlign w:val="center"/>
          </w:tcPr>
          <w:p w14:paraId="36B8AF3D">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含税控制单价（元）</w:t>
            </w:r>
          </w:p>
        </w:tc>
        <w:tc>
          <w:tcPr>
            <w:tcW w:w="1534" w:type="dxa"/>
            <w:vMerge w:val="restart"/>
            <w:tcBorders>
              <w:top w:val="single" w:color="000000" w:sz="4" w:space="0"/>
              <w:left w:val="single" w:color="000000" w:sz="4" w:space="0"/>
              <w:right w:val="single" w:color="auto" w:sz="4" w:space="0"/>
            </w:tcBorders>
            <w:shd w:val="clear" w:color="auto" w:fill="auto"/>
            <w:vAlign w:val="center"/>
          </w:tcPr>
          <w:p w14:paraId="7328D9A8">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含税控制合价（元）</w:t>
            </w:r>
          </w:p>
        </w:tc>
        <w:tc>
          <w:tcPr>
            <w:tcW w:w="294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3F97DD5">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default"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报价（含税）</w:t>
            </w:r>
          </w:p>
        </w:tc>
      </w:tr>
      <w:tr w14:paraId="15366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 w:hRule="atLeast"/>
        </w:trPr>
        <w:tc>
          <w:tcPr>
            <w:tcW w:w="828" w:type="dxa"/>
            <w:vMerge w:val="continue"/>
            <w:tcBorders>
              <w:left w:val="single" w:color="000000" w:sz="4" w:space="0"/>
              <w:bottom w:val="single" w:color="000000" w:sz="4" w:space="0"/>
              <w:right w:val="single" w:color="000000" w:sz="4" w:space="0"/>
            </w:tcBorders>
            <w:shd w:val="clear" w:color="auto" w:fill="auto"/>
            <w:vAlign w:val="center"/>
          </w:tcPr>
          <w:p w14:paraId="467B088A">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pPr>
          </w:p>
        </w:tc>
        <w:tc>
          <w:tcPr>
            <w:tcW w:w="2177" w:type="dxa"/>
            <w:vMerge w:val="continue"/>
            <w:tcBorders>
              <w:left w:val="single" w:color="000000" w:sz="4" w:space="0"/>
              <w:bottom w:val="single" w:color="000000" w:sz="4" w:space="0"/>
              <w:right w:val="single" w:color="000000" w:sz="4" w:space="0"/>
            </w:tcBorders>
            <w:shd w:val="clear" w:color="auto" w:fill="auto"/>
            <w:vAlign w:val="center"/>
          </w:tcPr>
          <w:p w14:paraId="3875A46F">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pPr>
          </w:p>
        </w:tc>
        <w:tc>
          <w:tcPr>
            <w:tcW w:w="3944" w:type="dxa"/>
            <w:vMerge w:val="continue"/>
            <w:tcBorders>
              <w:left w:val="single" w:color="000000" w:sz="4" w:space="0"/>
              <w:bottom w:val="single" w:color="000000" w:sz="4" w:space="0"/>
              <w:right w:val="single" w:color="000000" w:sz="4" w:space="0"/>
            </w:tcBorders>
            <w:shd w:val="clear" w:color="auto" w:fill="auto"/>
            <w:vAlign w:val="center"/>
          </w:tcPr>
          <w:p w14:paraId="383C12A4">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color w:val="auto"/>
              </w:rPr>
            </w:pPr>
          </w:p>
        </w:tc>
        <w:tc>
          <w:tcPr>
            <w:tcW w:w="1238" w:type="dxa"/>
            <w:vMerge w:val="continue"/>
            <w:tcBorders>
              <w:left w:val="single" w:color="000000" w:sz="4" w:space="0"/>
              <w:bottom w:val="single" w:color="000000" w:sz="4" w:space="0"/>
              <w:right w:val="single" w:color="000000" w:sz="4" w:space="0"/>
            </w:tcBorders>
            <w:shd w:val="clear" w:color="auto" w:fill="auto"/>
            <w:vAlign w:val="center"/>
          </w:tcPr>
          <w:p w14:paraId="506AFA18">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14:paraId="1A5C5496">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pPr>
          </w:p>
        </w:tc>
        <w:tc>
          <w:tcPr>
            <w:tcW w:w="1413" w:type="dxa"/>
            <w:vMerge w:val="continue"/>
            <w:tcBorders>
              <w:left w:val="single" w:color="000000" w:sz="4" w:space="0"/>
              <w:bottom w:val="single" w:color="000000" w:sz="4" w:space="0"/>
              <w:right w:val="single" w:color="000000" w:sz="4" w:space="0"/>
            </w:tcBorders>
            <w:shd w:val="clear" w:color="auto" w:fill="auto"/>
            <w:vAlign w:val="center"/>
          </w:tcPr>
          <w:p w14:paraId="188F06F2">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pPr>
          </w:p>
        </w:tc>
        <w:tc>
          <w:tcPr>
            <w:tcW w:w="1534" w:type="dxa"/>
            <w:vMerge w:val="continue"/>
            <w:tcBorders>
              <w:left w:val="single" w:color="000000" w:sz="4" w:space="0"/>
              <w:bottom w:val="single" w:color="000000" w:sz="4" w:space="0"/>
              <w:right w:val="single" w:color="auto" w:sz="4" w:space="0"/>
            </w:tcBorders>
            <w:shd w:val="clear" w:color="auto" w:fill="auto"/>
            <w:vAlign w:val="center"/>
          </w:tcPr>
          <w:p w14:paraId="788C38B8">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pPr>
          </w:p>
        </w:tc>
        <w:tc>
          <w:tcPr>
            <w:tcW w:w="14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63D775">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单价</w:t>
            </w:r>
          </w:p>
          <w:p w14:paraId="14B29E33">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（元）</w:t>
            </w:r>
          </w:p>
        </w:tc>
        <w:tc>
          <w:tcPr>
            <w:tcW w:w="14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F95F24">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合价</w:t>
            </w:r>
          </w:p>
          <w:p w14:paraId="2F48DA27">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（元）</w:t>
            </w:r>
          </w:p>
        </w:tc>
      </w:tr>
      <w:tr w14:paraId="4FA8F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05F9">
            <w:pPr>
              <w:keepNext w:val="0"/>
              <w:keepLines w:val="0"/>
              <w:pageBreakBefore w:val="0"/>
              <w:widowControl/>
              <w:suppressLineNumbers w:val="0"/>
              <w:kinsoku/>
              <w:wordWrap/>
              <w:overflowPunct/>
              <w:topLinePunct w:val="0"/>
              <w:autoSpaceDE/>
              <w:autoSpaceDN/>
              <w:bidi w:val="0"/>
              <w:adjustRightInd/>
              <w:spacing w:before="0" w:after="0" w:line="240" w:lineRule="auto"/>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378F">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val="0"/>
                <w:bCs w:val="0"/>
                <w:i w:val="0"/>
                <w:iCs w:val="0"/>
                <w:color w:val="000000"/>
                <w:kern w:val="0"/>
                <w:sz w:val="22"/>
                <w:szCs w:val="22"/>
                <w:u w:val="none"/>
                <w:lang w:val="en-US" w:eastAsia="zh-CN" w:bidi="ar"/>
              </w:rPr>
            </w:pPr>
            <w:r>
              <w:rPr>
                <w:rFonts w:hint="eastAsia" w:ascii="微软雅黑" w:hAnsi="微软雅黑" w:eastAsia="微软雅黑" w:cs="微软雅黑"/>
                <w:b w:val="0"/>
                <w:bCs w:val="0"/>
                <w:i w:val="0"/>
                <w:iCs w:val="0"/>
                <w:color w:val="000000"/>
                <w:kern w:val="0"/>
                <w:sz w:val="22"/>
                <w:szCs w:val="22"/>
                <w:u w:val="none"/>
                <w:lang w:val="en-US" w:eastAsia="zh-CN" w:bidi="ar"/>
              </w:rPr>
              <w:t>电梯</w:t>
            </w:r>
          </w:p>
        </w:tc>
        <w:tc>
          <w:tcPr>
            <w:tcW w:w="3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FE820">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default" w:ascii="微软雅黑" w:hAnsi="微软雅黑" w:eastAsia="微软雅黑" w:cs="微软雅黑"/>
                <w:b w:val="0"/>
                <w:bCs w:val="0"/>
                <w:i w:val="0"/>
                <w:iCs w:val="0"/>
                <w:color w:val="auto"/>
                <w:kern w:val="0"/>
                <w:sz w:val="22"/>
                <w:szCs w:val="22"/>
                <w:u w:val="none"/>
                <w:lang w:val="en-US" w:eastAsia="zh-CN" w:bidi="ar"/>
              </w:rPr>
            </w:pPr>
            <w:r>
              <w:rPr>
                <w:rFonts w:hint="eastAsia" w:ascii="微软雅黑" w:hAnsi="微软雅黑" w:eastAsia="微软雅黑" w:cs="微软雅黑"/>
                <w:b w:val="0"/>
                <w:bCs w:val="0"/>
                <w:i w:val="0"/>
                <w:iCs w:val="0"/>
                <w:color w:val="auto"/>
                <w:kern w:val="0"/>
                <w:sz w:val="22"/>
                <w:szCs w:val="22"/>
                <w:u w:val="none"/>
                <w:lang w:val="en-US" w:eastAsia="zh-CN" w:bidi="ar"/>
              </w:rPr>
              <w:t>详见技术规格书</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B963">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val="0"/>
                <w:bCs w:val="0"/>
                <w:i w:val="0"/>
                <w:iCs w:val="0"/>
                <w:color w:val="000000"/>
                <w:kern w:val="0"/>
                <w:sz w:val="22"/>
                <w:szCs w:val="22"/>
                <w:u w:val="none"/>
                <w:lang w:val="en-US" w:eastAsia="zh-CN" w:bidi="ar"/>
              </w:rPr>
            </w:pPr>
            <w:r>
              <w:rPr>
                <w:rFonts w:hint="eastAsia" w:ascii="微软雅黑" w:hAnsi="微软雅黑" w:eastAsia="微软雅黑" w:cs="微软雅黑"/>
                <w:b w:val="0"/>
                <w:bCs w:val="0"/>
                <w:i w:val="0"/>
                <w:iCs w:val="0"/>
                <w:color w:val="000000"/>
                <w:kern w:val="0"/>
                <w:sz w:val="22"/>
                <w:szCs w:val="22"/>
                <w:u w:val="none"/>
                <w:lang w:val="en-US" w:eastAsia="zh-CN" w:bidi="ar"/>
              </w:rPr>
              <w:t>台</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2D5C">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微软雅黑" w:hAnsi="微软雅黑" w:eastAsia="微软雅黑" w:cs="微软雅黑"/>
                <w:b w:val="0"/>
                <w:bCs w:val="0"/>
                <w:i w:val="0"/>
                <w:iCs w:val="0"/>
                <w:color w:val="000000"/>
                <w:kern w:val="0"/>
                <w:sz w:val="22"/>
                <w:szCs w:val="22"/>
                <w:u w:val="none"/>
                <w:lang w:val="en-US" w:eastAsia="zh-CN" w:bidi="ar"/>
              </w:rPr>
            </w:pPr>
            <w:r>
              <w:rPr>
                <w:rFonts w:hint="eastAsia" w:ascii="微软雅黑" w:hAnsi="微软雅黑" w:eastAsia="微软雅黑" w:cs="微软雅黑"/>
                <w:b w:val="0"/>
                <w:bCs w:val="0"/>
                <w:i w:val="0"/>
                <w:iCs w:val="0"/>
                <w:color w:val="000000"/>
                <w:kern w:val="0"/>
                <w:sz w:val="22"/>
                <w:szCs w:val="22"/>
                <w:u w:val="none"/>
                <w:lang w:val="en-US" w:eastAsia="zh-CN" w:bidi="ar"/>
              </w:rPr>
              <w:t>2</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CE85A">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default" w:ascii="微软雅黑" w:hAnsi="微软雅黑" w:eastAsia="微软雅黑" w:cs="微软雅黑"/>
                <w:b w:val="0"/>
                <w:bCs w:val="0"/>
                <w:i w:val="0"/>
                <w:iCs w:val="0"/>
                <w:color w:val="000000"/>
                <w:kern w:val="0"/>
                <w:sz w:val="22"/>
                <w:szCs w:val="22"/>
                <w:u w:val="none"/>
                <w:lang w:val="en-US" w:eastAsia="zh-CN" w:bidi="ar"/>
              </w:rPr>
            </w:pPr>
            <w:r>
              <w:rPr>
                <w:rFonts w:hint="eastAsia" w:ascii="微软雅黑" w:hAnsi="微软雅黑" w:eastAsia="微软雅黑" w:cs="微软雅黑"/>
                <w:b w:val="0"/>
                <w:bCs w:val="0"/>
                <w:i w:val="0"/>
                <w:iCs w:val="0"/>
                <w:color w:val="000000"/>
                <w:kern w:val="0"/>
                <w:sz w:val="22"/>
                <w:szCs w:val="22"/>
                <w:u w:val="none"/>
                <w:lang w:val="en-US" w:eastAsia="zh-CN" w:bidi="ar"/>
              </w:rPr>
              <w:t>166500</w:t>
            </w:r>
          </w:p>
        </w:tc>
        <w:tc>
          <w:tcPr>
            <w:tcW w:w="1534" w:type="dxa"/>
            <w:tcBorders>
              <w:top w:val="single" w:color="000000" w:sz="4" w:space="0"/>
              <w:left w:val="single" w:color="000000" w:sz="4" w:space="0"/>
              <w:bottom w:val="single" w:color="000000" w:sz="4" w:space="0"/>
              <w:right w:val="single" w:color="auto" w:sz="4" w:space="0"/>
            </w:tcBorders>
            <w:shd w:val="clear" w:color="auto" w:fill="auto"/>
            <w:vAlign w:val="center"/>
          </w:tcPr>
          <w:p w14:paraId="0996038C">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default" w:ascii="微软雅黑" w:hAnsi="微软雅黑" w:eastAsia="微软雅黑" w:cs="微软雅黑"/>
                <w:b w:val="0"/>
                <w:bCs w:val="0"/>
                <w:i w:val="0"/>
                <w:iCs w:val="0"/>
                <w:color w:val="000000"/>
                <w:kern w:val="0"/>
                <w:sz w:val="22"/>
                <w:szCs w:val="22"/>
                <w:u w:val="none"/>
                <w:lang w:val="en-US" w:eastAsia="zh-CN" w:bidi="ar"/>
              </w:rPr>
            </w:pPr>
            <w:r>
              <w:rPr>
                <w:rFonts w:hint="eastAsia" w:ascii="微软雅黑" w:hAnsi="微软雅黑" w:eastAsia="微软雅黑" w:cs="微软雅黑"/>
                <w:b w:val="0"/>
                <w:bCs w:val="0"/>
                <w:i w:val="0"/>
                <w:iCs w:val="0"/>
                <w:color w:val="000000"/>
                <w:kern w:val="0"/>
                <w:sz w:val="22"/>
                <w:szCs w:val="22"/>
                <w:u w:val="none"/>
                <w:lang w:val="en-US" w:eastAsia="zh-CN" w:bidi="ar"/>
              </w:rPr>
              <w:t>333000</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B173382">
            <w:pPr>
              <w:keepNext w:val="0"/>
              <w:keepLines w:val="0"/>
              <w:pageBreakBefore w:val="0"/>
              <w:widowControl/>
              <w:suppressLineNumbers w:val="0"/>
              <w:kinsoku/>
              <w:wordWrap/>
              <w:overflowPunct/>
              <w:topLinePunct w:val="0"/>
              <w:autoSpaceDE/>
              <w:autoSpaceDN/>
              <w:bidi w:val="0"/>
              <w:adjustRightInd/>
              <w:spacing w:before="0" w:after="0" w:line="240" w:lineRule="auto"/>
              <w:ind w:firstLine="1000" w:firstLineChars="500"/>
              <w:jc w:val="both"/>
              <w:textAlignment w:val="center"/>
              <w:rPr>
                <w:rFonts w:hint="eastAsia" w:ascii="微软雅黑" w:hAnsi="微软雅黑" w:eastAsia="微软雅黑" w:cs="微软雅黑"/>
                <w:i w:val="0"/>
                <w:iCs w:val="0"/>
                <w:color w:val="FF0000"/>
                <w:sz w:val="20"/>
                <w:szCs w:val="20"/>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AFBA96B">
            <w:pPr>
              <w:keepNext w:val="0"/>
              <w:keepLines w:val="0"/>
              <w:pageBreakBefore w:val="0"/>
              <w:widowControl/>
              <w:suppressLineNumbers w:val="0"/>
              <w:kinsoku/>
              <w:wordWrap/>
              <w:overflowPunct/>
              <w:topLinePunct w:val="0"/>
              <w:autoSpaceDE/>
              <w:autoSpaceDN/>
              <w:bidi w:val="0"/>
              <w:adjustRightInd/>
              <w:spacing w:before="0" w:after="0" w:line="240" w:lineRule="auto"/>
              <w:ind w:firstLine="1000" w:firstLineChars="500"/>
              <w:jc w:val="both"/>
              <w:textAlignment w:val="center"/>
              <w:rPr>
                <w:rFonts w:hint="eastAsia" w:ascii="微软雅黑" w:hAnsi="微软雅黑" w:eastAsia="微软雅黑" w:cs="微软雅黑"/>
                <w:i w:val="0"/>
                <w:iCs w:val="0"/>
                <w:color w:val="FF0000"/>
                <w:sz w:val="20"/>
                <w:szCs w:val="20"/>
                <w:u w:val="none"/>
              </w:rPr>
            </w:pPr>
          </w:p>
        </w:tc>
      </w:tr>
      <w:tr w14:paraId="42719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A10D">
            <w:pPr>
              <w:keepNext w:val="0"/>
              <w:keepLines w:val="0"/>
              <w:pageBreakBefore w:val="0"/>
              <w:widowControl/>
              <w:suppressLineNumbers w:val="0"/>
              <w:kinsoku/>
              <w:wordWrap/>
              <w:overflowPunct/>
              <w:topLinePunct w:val="0"/>
              <w:autoSpaceDE/>
              <w:autoSpaceDN/>
              <w:bidi w:val="0"/>
              <w:adjustRightInd/>
              <w:spacing w:before="0" w:after="0" w:line="240" w:lineRule="auto"/>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1A6BF">
            <w:pPr>
              <w:keepNext w:val="0"/>
              <w:keepLines w:val="0"/>
              <w:pageBreakBefore w:val="0"/>
              <w:widowControl/>
              <w:suppressLineNumbers w:val="0"/>
              <w:kinsoku/>
              <w:wordWrap/>
              <w:overflowPunct/>
              <w:topLinePunct w:val="0"/>
              <w:autoSpaceDE/>
              <w:autoSpaceDN/>
              <w:bidi w:val="0"/>
              <w:adjustRightInd/>
              <w:spacing w:before="0" w:after="0" w:line="240" w:lineRule="auto"/>
              <w:jc w:val="left"/>
              <w:textAlignment w:val="center"/>
              <w:rPr>
                <w:rFonts w:hint="eastAsia" w:ascii="微软雅黑" w:hAnsi="微软雅黑" w:eastAsia="微软雅黑" w:cs="微软雅黑"/>
                <w:i w:val="0"/>
                <w:iCs w:val="0"/>
                <w:color w:val="000000"/>
                <w:sz w:val="20"/>
                <w:szCs w:val="20"/>
                <w:u w:val="none"/>
              </w:rPr>
            </w:pPr>
          </w:p>
        </w:tc>
        <w:tc>
          <w:tcPr>
            <w:tcW w:w="3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1A2DF">
            <w:pPr>
              <w:keepNext w:val="0"/>
              <w:keepLines w:val="0"/>
              <w:pageBreakBefore w:val="0"/>
              <w:widowControl/>
              <w:suppressLineNumbers w:val="0"/>
              <w:kinsoku/>
              <w:wordWrap/>
              <w:overflowPunct/>
              <w:topLinePunct w:val="0"/>
              <w:autoSpaceDE/>
              <w:autoSpaceDN/>
              <w:bidi w:val="0"/>
              <w:adjustRightInd/>
              <w:spacing w:before="0" w:after="0" w:line="240" w:lineRule="auto"/>
              <w:jc w:val="left"/>
              <w:textAlignment w:val="center"/>
              <w:rPr>
                <w:rFonts w:hint="eastAsia" w:ascii="微软雅黑" w:hAnsi="微软雅黑" w:eastAsia="微软雅黑" w:cs="微软雅黑"/>
                <w:i w:val="0"/>
                <w:iCs w:val="0"/>
                <w:color w:val="000000"/>
                <w:sz w:val="20"/>
                <w:szCs w:val="20"/>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8060">
            <w:pPr>
              <w:keepNext w:val="0"/>
              <w:keepLines w:val="0"/>
              <w:pageBreakBefore w:val="0"/>
              <w:widowControl/>
              <w:suppressLineNumbers w:val="0"/>
              <w:kinsoku/>
              <w:wordWrap/>
              <w:overflowPunct/>
              <w:topLinePunct w:val="0"/>
              <w:autoSpaceDE/>
              <w:autoSpaceDN/>
              <w:bidi w:val="0"/>
              <w:adjustRightInd/>
              <w:spacing w:before="0" w:after="0" w:line="240" w:lineRule="auto"/>
              <w:jc w:val="center"/>
              <w:textAlignment w:val="center"/>
              <w:rPr>
                <w:rFonts w:hint="eastAsia" w:ascii="微软雅黑" w:hAnsi="微软雅黑" w:eastAsia="微软雅黑" w:cs="微软雅黑"/>
                <w:i w:val="0"/>
                <w:iCs w:val="0"/>
                <w:color w:val="000000"/>
                <w:sz w:val="20"/>
                <w:szCs w:val="20"/>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D04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18C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1534" w:type="dxa"/>
            <w:tcBorders>
              <w:top w:val="single" w:color="000000" w:sz="4" w:space="0"/>
              <w:left w:val="single" w:color="000000" w:sz="4" w:space="0"/>
              <w:bottom w:val="single" w:color="000000" w:sz="4" w:space="0"/>
              <w:right w:val="single" w:color="auto" w:sz="4" w:space="0"/>
            </w:tcBorders>
            <w:shd w:val="clear" w:color="auto" w:fill="auto"/>
            <w:vAlign w:val="center"/>
          </w:tcPr>
          <w:p w14:paraId="36EBCC68">
            <w:pPr>
              <w:keepNext w:val="0"/>
              <w:keepLines w:val="0"/>
              <w:widowControl/>
              <w:suppressLineNumbers w:val="0"/>
              <w:jc w:val="right"/>
              <w:textAlignment w:val="center"/>
              <w:rPr>
                <w:rFonts w:hint="eastAsia" w:ascii="微软雅黑" w:hAnsi="微软雅黑" w:eastAsia="微软雅黑" w:cs="微软雅黑"/>
                <w:i w:val="0"/>
                <w:iCs w:val="0"/>
                <w:color w:val="000000"/>
                <w:sz w:val="20"/>
                <w:szCs w:val="20"/>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8317100">
            <w:pPr>
              <w:keepNext w:val="0"/>
              <w:keepLines w:val="0"/>
              <w:pageBreakBefore w:val="0"/>
              <w:widowControl/>
              <w:kinsoku/>
              <w:wordWrap/>
              <w:overflowPunct/>
              <w:topLinePunct w:val="0"/>
              <w:autoSpaceDE/>
              <w:autoSpaceDN/>
              <w:bidi w:val="0"/>
              <w:adjustRightInd/>
              <w:snapToGrid w:val="0"/>
              <w:spacing w:before="0" w:after="0" w:line="240" w:lineRule="auto"/>
              <w:rPr>
                <w:rFonts w:hint="eastAsia" w:ascii="等线" w:hAnsi="等线" w:eastAsia="等线" w:cs="等线"/>
                <w:i w:val="0"/>
                <w:iCs w:val="0"/>
                <w:color w:val="000000"/>
                <w:sz w:val="20"/>
                <w:szCs w:val="20"/>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8BB5B98">
            <w:pPr>
              <w:keepNext w:val="0"/>
              <w:keepLines w:val="0"/>
              <w:pageBreakBefore w:val="0"/>
              <w:widowControl/>
              <w:kinsoku/>
              <w:wordWrap/>
              <w:overflowPunct/>
              <w:topLinePunct w:val="0"/>
              <w:autoSpaceDE/>
              <w:autoSpaceDN/>
              <w:bidi w:val="0"/>
              <w:adjustRightInd/>
              <w:snapToGrid w:val="0"/>
              <w:spacing w:before="0" w:after="0" w:line="240" w:lineRule="auto"/>
              <w:rPr>
                <w:rFonts w:hint="eastAsia" w:ascii="等线" w:hAnsi="等线" w:eastAsia="等线" w:cs="等线"/>
                <w:i w:val="0"/>
                <w:iCs w:val="0"/>
                <w:color w:val="000000"/>
                <w:sz w:val="20"/>
                <w:szCs w:val="20"/>
                <w:u w:val="none"/>
              </w:rPr>
            </w:pPr>
          </w:p>
        </w:tc>
      </w:tr>
      <w:tr w14:paraId="02A17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548CC">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63CA0">
            <w:pPr>
              <w:keepNext w:val="0"/>
              <w:keepLines w:val="0"/>
              <w:pageBreakBefore w:val="0"/>
              <w:widowControl/>
              <w:kinsoku/>
              <w:wordWrap/>
              <w:overflowPunct/>
              <w:topLinePunct w:val="0"/>
              <w:autoSpaceDE/>
              <w:autoSpaceDN/>
              <w:bidi w:val="0"/>
              <w:adjustRightInd/>
              <w:snapToGrid w:val="0"/>
              <w:spacing w:before="0" w:after="0" w:line="240" w:lineRule="auto"/>
              <w:jc w:val="center"/>
              <w:rPr>
                <w:rFonts w:hint="eastAsia" w:ascii="等线" w:hAnsi="等线" w:eastAsia="等线" w:cs="等线"/>
                <w:i w:val="0"/>
                <w:iCs w:val="0"/>
                <w:color w:val="000000"/>
                <w:sz w:val="20"/>
                <w:szCs w:val="20"/>
                <w:u w:val="none"/>
                <w:lang w:val="en-US" w:eastAsia="zh-CN"/>
              </w:rPr>
            </w:pPr>
            <w:r>
              <w:rPr>
                <w:rFonts w:hint="eastAsia" w:ascii="等线" w:hAnsi="等线" w:eastAsia="等线" w:cs="等线"/>
                <w:i w:val="0"/>
                <w:iCs w:val="0"/>
                <w:color w:val="00000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6EB1">
            <w:pPr>
              <w:keepNext w:val="0"/>
              <w:keepLines w:val="0"/>
              <w:pageBreakBefore w:val="0"/>
              <w:widowControl/>
              <w:kinsoku/>
              <w:wordWrap/>
              <w:overflowPunct/>
              <w:topLinePunct w:val="0"/>
              <w:autoSpaceDE/>
              <w:autoSpaceDN/>
              <w:bidi w:val="0"/>
              <w:adjustRightInd/>
              <w:snapToGrid w:val="0"/>
              <w:spacing w:before="0" w:after="0" w:line="240" w:lineRule="auto"/>
              <w:jc w:val="center"/>
              <w:rPr>
                <w:rFonts w:hint="eastAsia" w:ascii="等线" w:hAnsi="等线" w:eastAsia="等线" w:cs="等线"/>
                <w:i w:val="0"/>
                <w:iCs w:val="0"/>
                <w:color w:val="000000"/>
                <w:sz w:val="20"/>
                <w:szCs w:val="20"/>
                <w:u w:val="none"/>
                <w:lang w:val="en-US" w:eastAsia="zh-CN"/>
              </w:rPr>
            </w:pPr>
            <w:r>
              <w:rPr>
                <w:rFonts w:hint="eastAsia" w:ascii="等线" w:hAnsi="等线" w:eastAsia="等线" w:cs="等线"/>
                <w:i w:val="0"/>
                <w:iCs w:val="0"/>
                <w:color w:val="00000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5E2A">
            <w:pPr>
              <w:keepNext w:val="0"/>
              <w:keepLines w:val="0"/>
              <w:pageBreakBefore w:val="0"/>
              <w:widowControl/>
              <w:kinsoku/>
              <w:wordWrap/>
              <w:overflowPunct/>
              <w:topLinePunct w:val="0"/>
              <w:autoSpaceDE/>
              <w:autoSpaceDN/>
              <w:bidi w:val="0"/>
              <w:adjustRightInd/>
              <w:snapToGrid w:val="0"/>
              <w:spacing w:before="0" w:after="0" w:line="240" w:lineRule="auto"/>
              <w:jc w:val="center"/>
              <w:rPr>
                <w:rFonts w:hint="eastAsia" w:ascii="等线" w:hAnsi="等线" w:eastAsia="等线" w:cs="等线"/>
                <w:i w:val="0"/>
                <w:iCs w:val="0"/>
                <w:color w:val="000000"/>
                <w:sz w:val="20"/>
                <w:szCs w:val="20"/>
                <w:u w:val="none"/>
                <w:lang w:val="en-US" w:eastAsia="zh-CN"/>
              </w:rPr>
            </w:pPr>
            <w:r>
              <w:rPr>
                <w:rFonts w:hint="eastAsia" w:ascii="等线" w:hAnsi="等线" w:eastAsia="等线" w:cs="等线"/>
                <w:i w:val="0"/>
                <w:iCs w:val="0"/>
                <w:color w:val="00000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auto" w:sz="4" w:space="0"/>
            </w:tcBorders>
            <w:shd w:val="clear" w:color="auto" w:fill="auto"/>
            <w:noWrap/>
            <w:vAlign w:val="center"/>
          </w:tcPr>
          <w:p w14:paraId="4E21BC54">
            <w:pPr>
              <w:keepNext w:val="0"/>
              <w:keepLines w:val="0"/>
              <w:pageBreakBefore w:val="0"/>
              <w:widowControl/>
              <w:suppressLineNumbers w:val="0"/>
              <w:kinsoku/>
              <w:wordWrap/>
              <w:overflowPunct/>
              <w:topLinePunct w:val="0"/>
              <w:autoSpaceDE/>
              <w:autoSpaceDN/>
              <w:bidi w:val="0"/>
              <w:adjustRightInd/>
              <w:snapToGrid w:val="0"/>
              <w:spacing w:before="0" w:after="0" w:line="240" w:lineRule="auto"/>
              <w:jc w:val="center"/>
              <w:textAlignment w:val="center"/>
              <w:rPr>
                <w:rFonts w:hint="eastAsia" w:ascii="等线" w:hAnsi="等线" w:eastAsia="等线" w:cs="等线"/>
                <w:i w:val="0"/>
                <w:iCs w:val="0"/>
                <w:color w:val="000000"/>
                <w:sz w:val="20"/>
                <w:szCs w:val="20"/>
                <w:u w:val="none"/>
                <w:lang w:val="en-US" w:eastAsia="zh-CN"/>
              </w:rPr>
            </w:pPr>
            <w:r>
              <w:rPr>
                <w:rFonts w:hint="eastAsia" w:ascii="等线" w:hAnsi="等线" w:eastAsia="等线" w:cs="等线"/>
                <w:i w:val="0"/>
                <w:iCs w:val="0"/>
                <w:color w:val="000000"/>
                <w:sz w:val="20"/>
                <w:szCs w:val="20"/>
                <w:u w:val="none"/>
                <w:lang w:val="en-US" w:eastAsia="zh-CN"/>
              </w:rPr>
              <w:t>/</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00B2C7A">
            <w:pPr>
              <w:keepNext w:val="0"/>
              <w:keepLines w:val="0"/>
              <w:pageBreakBefore w:val="0"/>
              <w:widowControl/>
              <w:kinsoku/>
              <w:wordWrap/>
              <w:overflowPunct/>
              <w:topLinePunct w:val="0"/>
              <w:autoSpaceDE/>
              <w:autoSpaceDN/>
              <w:bidi w:val="0"/>
              <w:adjustRightInd/>
              <w:snapToGrid w:val="0"/>
              <w:spacing w:before="0" w:after="0" w:line="240" w:lineRule="auto"/>
              <w:rPr>
                <w:rFonts w:hint="eastAsia" w:ascii="等线" w:hAnsi="等线" w:eastAsia="等线" w:cs="等线"/>
                <w:i w:val="0"/>
                <w:iCs w:val="0"/>
                <w:color w:val="000000"/>
                <w:sz w:val="20"/>
                <w:szCs w:val="20"/>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135E623">
            <w:pPr>
              <w:keepNext w:val="0"/>
              <w:keepLines w:val="0"/>
              <w:pageBreakBefore w:val="0"/>
              <w:widowControl/>
              <w:kinsoku/>
              <w:wordWrap/>
              <w:overflowPunct/>
              <w:topLinePunct w:val="0"/>
              <w:autoSpaceDE/>
              <w:autoSpaceDN/>
              <w:bidi w:val="0"/>
              <w:adjustRightInd/>
              <w:snapToGrid w:val="0"/>
              <w:spacing w:before="0" w:after="0" w:line="240" w:lineRule="auto"/>
              <w:rPr>
                <w:rFonts w:hint="eastAsia" w:ascii="等线" w:hAnsi="等线" w:eastAsia="等线" w:cs="等线"/>
                <w:i w:val="0"/>
                <w:iCs w:val="0"/>
                <w:color w:val="000000"/>
                <w:sz w:val="20"/>
                <w:szCs w:val="20"/>
                <w:u w:val="none"/>
              </w:rPr>
            </w:pPr>
          </w:p>
        </w:tc>
      </w:tr>
    </w:tbl>
    <w:p w14:paraId="35FF649A">
      <w:pPr>
        <w:keepNext w:val="0"/>
        <w:keepLines w:val="0"/>
        <w:widowControl/>
        <w:suppressLineNumbers w:val="0"/>
        <w:jc w:val="left"/>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注：1、报价应包含为完成本询比采购文件所确定的采购范围、并满足其各项要求所需的全部费用，包括但不限于材料本身、包装、装卸、运输、安装、利润、配合费、税金等。需满足现行相关标准及现行验收规范；2、以上报价含13%增值税。3.本项目推荐品牌为三菱电梯、日立电梯、通力电梯、奥的斯电梯、迅达电梯、蒂升TKE电梯；(以上品牌仅作推荐不作限制，报价人可选用其他替代品牌，但替代品牌档次应不低于或相当于以上推荐品牌)，另所提供品牌电梯参数须满足采购人要求。4、报价表按给定格式签字盖章。</w:t>
      </w:r>
    </w:p>
    <w:p w14:paraId="356F41EC">
      <w:pPr>
        <w:pStyle w:val="2"/>
        <w:ind w:left="0" w:firstLine="0" w:firstLineChars="0"/>
        <w:rPr>
          <w:lang w:val="en-US"/>
        </w:rPr>
        <w:sectPr>
          <w:pgSz w:w="16838" w:h="11906" w:orient="landscape"/>
          <w:pgMar w:top="720" w:right="720" w:bottom="720" w:left="720" w:header="851" w:footer="992" w:gutter="0"/>
          <w:pgNumType w:fmt="decimal"/>
          <w:cols w:space="0" w:num="1"/>
          <w:docGrid w:type="lines" w:linePitch="312" w:charSpace="0"/>
        </w:sectPr>
      </w:pPr>
      <w:r>
        <w:rPr>
          <w:rFonts w:hint="eastAsia" w:ascii="仿宋_GB2312" w:hAnsi="仿宋_GB2312" w:eastAsia="仿宋_GB2312" w:cs="仿宋_GB2312"/>
          <w:sz w:val="24"/>
          <w:szCs w:val="24"/>
          <w:lang w:val="en-US"/>
        </w:rPr>
        <w:t>报价人（公章）：                法定代表人或授权代表（签字或盖章）：                      日期：</w:t>
      </w:r>
    </w:p>
    <w:p w14:paraId="0937FED5">
      <w:pPr>
        <w:spacing w:before="0" w:after="0" w:line="560" w:lineRule="exact"/>
        <w:jc w:val="center"/>
        <w:outlineLvl w:val="1"/>
        <w:rPr>
          <w:rFonts w:hint="eastAsia" w:asciiTheme="minorEastAsia" w:hAnsiTheme="minorEastAsia" w:cstheme="minorEastAsia"/>
          <w:b/>
          <w:bCs/>
          <w:color w:val="000000" w:themeColor="text1"/>
          <w:sz w:val="24"/>
          <w:szCs w:val="24"/>
          <w:lang w:val="en-US" w:eastAsia="zh-CN"/>
          <w14:textFill>
            <w14:solidFill>
              <w14:schemeClr w14:val="tx1"/>
            </w14:solidFill>
          </w14:textFill>
        </w:rPr>
      </w:pPr>
      <w:bookmarkStart w:id="130" w:name="_Toc9657"/>
      <w:r>
        <w:rPr>
          <w:rFonts w:hint="eastAsia" w:asciiTheme="minorEastAsia" w:hAnsiTheme="minorEastAsia" w:cstheme="minorEastAsia"/>
          <w:b/>
          <w:bCs/>
          <w:color w:val="000000" w:themeColor="text1"/>
          <w:sz w:val="24"/>
          <w:szCs w:val="24"/>
          <w:lang w:val="en-US" w:eastAsia="zh-CN"/>
          <w14:textFill>
            <w14:solidFill>
              <w14:schemeClr w14:val="tx1"/>
            </w14:solidFill>
          </w14:textFill>
        </w:rPr>
        <w:t>资格审查资料</w:t>
      </w:r>
      <w:bookmarkEnd w:id="130"/>
    </w:p>
    <w:p w14:paraId="449DA3FD">
      <w:pPr>
        <w:spacing w:line="460" w:lineRule="exact"/>
        <w:jc w:val="center"/>
        <w:rPr>
          <w:rFonts w:hint="eastAsia" w:ascii="宋体" w:hAnsi="宋体" w:eastAsia="宋体" w:cs="宋体"/>
          <w:b/>
          <w:bCs/>
          <w:sz w:val="30"/>
          <w:szCs w:val="30"/>
          <w:lang w:val="en-US"/>
        </w:rPr>
      </w:pPr>
      <w:r>
        <w:rPr>
          <w:rFonts w:hint="eastAsia" w:ascii="宋体" w:hAnsi="宋体" w:eastAsia="宋体" w:cs="宋体"/>
          <w:b/>
          <w:bCs/>
          <w:sz w:val="30"/>
          <w:szCs w:val="30"/>
          <w:lang w:val="en-US"/>
        </w:rPr>
        <w:t>（格式自拟，加盖公章）</w:t>
      </w:r>
    </w:p>
    <w:p w14:paraId="4838BDBD">
      <w:pPr>
        <w:spacing w:before="0" w:after="0" w:line="560" w:lineRule="exact"/>
        <w:jc w:val="center"/>
        <w:outlineLvl w:val="1"/>
        <w:rPr>
          <w:rFonts w:hint="eastAsia" w:asciiTheme="minorEastAsia" w:hAnsiTheme="minorEastAsia" w:cstheme="minorEastAsia"/>
          <w:b/>
          <w:bCs/>
          <w:color w:val="000000" w:themeColor="text1"/>
          <w:sz w:val="24"/>
          <w:szCs w:val="24"/>
          <w:lang w:val="en-US"/>
          <w14:textFill>
            <w14:solidFill>
              <w14:schemeClr w14:val="tx1"/>
            </w14:solidFill>
          </w14:textFill>
        </w:rPr>
        <w:sectPr>
          <w:headerReference r:id="rId8" w:type="default"/>
          <w:footerReference r:id="rId9" w:type="default"/>
          <w:pgSz w:w="11906" w:h="16838"/>
          <w:pgMar w:top="1134" w:right="1134" w:bottom="1134" w:left="1247" w:header="851" w:footer="992" w:gutter="0"/>
          <w:pgNumType w:fmt="decimal"/>
          <w:cols w:space="0" w:num="1"/>
          <w:docGrid w:type="lines" w:linePitch="317" w:charSpace="0"/>
        </w:sectPr>
      </w:pPr>
    </w:p>
    <w:p w14:paraId="7A37F646">
      <w:pPr>
        <w:spacing w:before="0" w:after="0" w:line="560" w:lineRule="exact"/>
        <w:jc w:val="center"/>
        <w:outlineLvl w:val="1"/>
        <w:rPr>
          <w:rFonts w:hint="eastAsia" w:asciiTheme="minorEastAsia" w:hAnsiTheme="minorEastAsia" w:cstheme="minorEastAsia"/>
          <w:b/>
          <w:bCs/>
          <w:color w:val="000000" w:themeColor="text1"/>
          <w:sz w:val="24"/>
          <w:szCs w:val="24"/>
          <w:lang w:val="en-US"/>
          <w14:textFill>
            <w14:solidFill>
              <w14:schemeClr w14:val="tx1"/>
            </w14:solidFill>
          </w14:textFill>
        </w:rPr>
      </w:pPr>
      <w:bookmarkStart w:id="131" w:name="_Toc5641"/>
      <w:r>
        <w:rPr>
          <w:rFonts w:hint="eastAsia" w:asciiTheme="minorEastAsia" w:hAnsiTheme="minorEastAsia" w:cstheme="minorEastAsia"/>
          <w:b/>
          <w:bCs/>
          <w:color w:val="000000" w:themeColor="text1"/>
          <w:sz w:val="24"/>
          <w:szCs w:val="24"/>
          <w:lang w:val="en-US"/>
          <w14:textFill>
            <w14:solidFill>
              <w14:schemeClr w14:val="tx1"/>
            </w14:solidFill>
          </w14:textFill>
        </w:rPr>
        <w:t>质量承诺书</w:t>
      </w:r>
      <w:bookmarkEnd w:id="131"/>
    </w:p>
    <w:p w14:paraId="5C7634E0">
      <w:pPr>
        <w:pStyle w:val="3"/>
        <w:widowControl w:val="0"/>
        <w:autoSpaceDE w:val="0"/>
        <w:autoSpaceDN w:val="0"/>
        <w:adjustRightInd w:val="0"/>
        <w:snapToGrid w:val="0"/>
        <w:spacing w:line="600" w:lineRule="exact"/>
        <w:ind w:left="220" w:leftChars="100" w:firstLine="540" w:firstLineChars="225"/>
        <w:rPr>
          <w:rFonts w:hint="eastAsia" w:asciiTheme="minorEastAsia" w:hAnsiTheme="minorEastAsia" w:cstheme="minorEastAsia"/>
          <w:color w:val="000000" w:themeColor="text1"/>
          <w:szCs w:val="24"/>
          <w:lang w:val="en-US"/>
          <w14:textFill>
            <w14:solidFill>
              <w14:schemeClr w14:val="tx1"/>
            </w14:solidFill>
          </w14:textFill>
        </w:rPr>
      </w:pPr>
      <w:r>
        <w:rPr>
          <w:rFonts w:hint="eastAsia" w:asciiTheme="minorEastAsia" w:hAnsiTheme="minorEastAsia" w:cstheme="minorEastAsia"/>
          <w:color w:val="000000" w:themeColor="text1"/>
          <w:szCs w:val="24"/>
          <w:lang w:val="en-US"/>
          <w14:textFill>
            <w14:solidFill>
              <w14:schemeClr w14:val="tx1"/>
            </w14:solidFill>
          </w14:textFill>
        </w:rPr>
        <w:t>报价人承诺：</w:t>
      </w:r>
    </w:p>
    <w:p w14:paraId="55EC6A2F">
      <w:pPr>
        <w:pStyle w:val="3"/>
        <w:widowControl w:val="0"/>
        <w:autoSpaceDE w:val="0"/>
        <w:autoSpaceDN w:val="0"/>
        <w:adjustRightInd w:val="0"/>
        <w:snapToGrid w:val="0"/>
        <w:spacing w:line="600" w:lineRule="exact"/>
        <w:ind w:left="220" w:leftChars="100" w:firstLine="540" w:firstLineChars="225"/>
        <w:rPr>
          <w:rFonts w:hint="eastAsia" w:asciiTheme="minorEastAsia" w:hAnsiTheme="minorEastAsia" w:cstheme="minorEastAsia"/>
          <w:color w:val="000000" w:themeColor="text1"/>
          <w:szCs w:val="24"/>
          <w:lang w:val="en-US"/>
          <w14:textFill>
            <w14:solidFill>
              <w14:schemeClr w14:val="tx1"/>
            </w14:solidFill>
          </w14:textFill>
        </w:rPr>
      </w:pPr>
      <w:r>
        <w:rPr>
          <w:rFonts w:hint="eastAsia" w:asciiTheme="minorEastAsia" w:hAnsiTheme="minorEastAsia" w:cstheme="minorEastAsia"/>
          <w:color w:val="000000" w:themeColor="text1"/>
          <w:szCs w:val="24"/>
          <w14:textFill>
            <w14:solidFill>
              <w14:schemeClr w14:val="tx1"/>
            </w14:solidFill>
          </w14:textFill>
        </w:rPr>
        <w:t>按采购人要求进度完成 淮北矿业（集团）工程建设有限责任公司</w:t>
      </w:r>
      <w:r>
        <w:rPr>
          <w:rFonts w:hint="eastAsia" w:asciiTheme="minorEastAsia" w:hAnsiTheme="minorEastAsia" w:cstheme="minorEastAsia"/>
          <w:color w:val="000000" w:themeColor="text1"/>
          <w:szCs w:val="24"/>
          <w:lang w:val="en-US" w:eastAsia="zh-CN"/>
          <w14:textFill>
            <w14:solidFill>
              <w14:schemeClr w14:val="tx1"/>
            </w14:solidFill>
          </w14:textFill>
        </w:rPr>
        <w:t>淮北高新区陶铝新材料产业园项目设计施工总承包冉邦地块北区</w:t>
      </w:r>
      <w:r>
        <w:rPr>
          <w:rFonts w:hint="eastAsia" w:asciiTheme="minorEastAsia" w:hAnsiTheme="minorEastAsia" w:cstheme="minorEastAsia"/>
          <w:color w:val="000000" w:themeColor="text1"/>
          <w:szCs w:val="24"/>
          <w14:textFill>
            <w14:solidFill>
              <w14:schemeClr w14:val="tx1"/>
            </w14:solidFill>
          </w14:textFill>
        </w:rPr>
        <w:t>—</w:t>
      </w:r>
      <w:r>
        <w:rPr>
          <w:rFonts w:hint="eastAsia" w:asciiTheme="minorEastAsia" w:hAnsiTheme="minorEastAsia" w:cstheme="minorEastAsia"/>
          <w:color w:val="000000" w:themeColor="text1"/>
          <w:szCs w:val="24"/>
          <w:lang w:val="en-US" w:eastAsia="zh-CN"/>
          <w14:textFill>
            <w14:solidFill>
              <w14:schemeClr w14:val="tx1"/>
            </w14:solidFill>
          </w14:textFill>
        </w:rPr>
        <w:t>电梯</w:t>
      </w:r>
      <w:r>
        <w:rPr>
          <w:rFonts w:hint="eastAsia" w:asciiTheme="minorEastAsia" w:hAnsiTheme="minorEastAsia" w:cstheme="minorEastAsia"/>
          <w:color w:val="000000" w:themeColor="text1"/>
          <w:szCs w:val="24"/>
          <w14:textFill>
            <w14:solidFill>
              <w14:schemeClr w14:val="tx1"/>
            </w14:solidFill>
          </w14:textFill>
        </w:rPr>
        <w:t>询比采购 ，</w:t>
      </w:r>
      <w:r>
        <w:rPr>
          <w:rFonts w:hint="eastAsia" w:asciiTheme="minorEastAsia" w:hAnsiTheme="minorEastAsia" w:cstheme="minorEastAsia"/>
          <w:color w:val="000000" w:themeColor="text1"/>
          <w:szCs w:val="24"/>
          <w:lang w:eastAsia="zh-CN"/>
          <w14:textFill>
            <w14:solidFill>
              <w14:schemeClr w14:val="tx1"/>
            </w14:solidFill>
          </w14:textFill>
        </w:rPr>
        <w:t>供货</w:t>
      </w:r>
      <w:r>
        <w:rPr>
          <w:rFonts w:hint="eastAsia" w:asciiTheme="minorEastAsia" w:hAnsiTheme="minorEastAsia" w:cstheme="minorEastAsia"/>
          <w:color w:val="000000" w:themeColor="text1"/>
          <w:szCs w:val="24"/>
          <w14:textFill>
            <w14:solidFill>
              <w14:schemeClr w14:val="tx1"/>
            </w14:solidFill>
          </w14:textFill>
        </w:rPr>
        <w:t>达到采购人要求质量，并保证通过建设单位验收。若</w:t>
      </w:r>
      <w:r>
        <w:rPr>
          <w:rFonts w:hint="eastAsia" w:asciiTheme="minorEastAsia" w:hAnsiTheme="minorEastAsia" w:cstheme="minorEastAsia"/>
          <w:color w:val="000000" w:themeColor="text1"/>
          <w:szCs w:val="24"/>
          <w:lang w:eastAsia="zh-CN"/>
          <w14:textFill>
            <w14:solidFill>
              <w14:schemeClr w14:val="tx1"/>
            </w14:solidFill>
          </w14:textFill>
        </w:rPr>
        <w:t>供货</w:t>
      </w:r>
      <w:r>
        <w:rPr>
          <w:rFonts w:hint="eastAsia" w:asciiTheme="minorEastAsia" w:hAnsiTheme="minorEastAsia" w:cstheme="minorEastAsia"/>
          <w:color w:val="000000" w:themeColor="text1"/>
          <w:szCs w:val="24"/>
          <w14:textFill>
            <w14:solidFill>
              <w14:schemeClr w14:val="tx1"/>
            </w14:solidFill>
          </w14:textFill>
        </w:rPr>
        <w:t>质量达不到验收要求或</w:t>
      </w:r>
      <w:r>
        <w:rPr>
          <w:rFonts w:hint="eastAsia" w:asciiTheme="minorEastAsia" w:hAnsiTheme="minorEastAsia" w:cstheme="minorEastAsia"/>
          <w:color w:val="000000" w:themeColor="text1"/>
          <w:szCs w:val="24"/>
          <w:lang w:eastAsia="zh-CN"/>
          <w14:textFill>
            <w14:solidFill>
              <w14:schemeClr w14:val="tx1"/>
            </w14:solidFill>
          </w14:textFill>
        </w:rPr>
        <w:t>供货</w:t>
      </w:r>
      <w:r>
        <w:rPr>
          <w:rFonts w:hint="eastAsia" w:asciiTheme="minorEastAsia" w:hAnsiTheme="minorEastAsia" w:cstheme="minorEastAsia"/>
          <w:color w:val="000000" w:themeColor="text1"/>
          <w:szCs w:val="24"/>
          <w14:textFill>
            <w14:solidFill>
              <w14:schemeClr w14:val="tx1"/>
            </w14:solidFill>
          </w14:textFill>
        </w:rPr>
        <w:t>过程中采购人两次提出质量整改要求后仍达不到</w:t>
      </w:r>
      <w:r>
        <w:rPr>
          <w:rFonts w:hint="eastAsia" w:asciiTheme="minorEastAsia" w:hAnsiTheme="minorEastAsia" w:cstheme="minorEastAsia"/>
          <w:color w:val="000000" w:themeColor="text1"/>
          <w:szCs w:val="24"/>
          <w:lang w:eastAsia="zh-CN"/>
          <w14:textFill>
            <w14:solidFill>
              <w14:schemeClr w14:val="tx1"/>
            </w14:solidFill>
          </w14:textFill>
        </w:rPr>
        <w:t>供货</w:t>
      </w:r>
      <w:r>
        <w:rPr>
          <w:rFonts w:hint="eastAsia" w:asciiTheme="minorEastAsia" w:hAnsiTheme="minorEastAsia" w:cstheme="minorEastAsia"/>
          <w:color w:val="000000" w:themeColor="text1"/>
          <w:szCs w:val="24"/>
          <w14:textFill>
            <w14:solidFill>
              <w14:schemeClr w14:val="tx1"/>
            </w14:solidFill>
          </w14:textFill>
        </w:rPr>
        <w:t>质量，报价人同意：1.解除</w:t>
      </w:r>
      <w:r>
        <w:rPr>
          <w:rFonts w:hint="eastAsia" w:asciiTheme="minorEastAsia" w:hAnsiTheme="minorEastAsia" w:cstheme="minorEastAsia"/>
          <w:color w:val="000000" w:themeColor="text1"/>
          <w:szCs w:val="24"/>
          <w:lang w:eastAsia="zh-CN"/>
          <w14:textFill>
            <w14:solidFill>
              <w14:schemeClr w14:val="tx1"/>
            </w14:solidFill>
          </w14:textFill>
        </w:rPr>
        <w:t>材料采购</w:t>
      </w:r>
      <w:r>
        <w:rPr>
          <w:rFonts w:hint="eastAsia" w:asciiTheme="minorEastAsia" w:hAnsiTheme="minorEastAsia" w:cstheme="minorEastAsia"/>
          <w:color w:val="000000" w:themeColor="text1"/>
          <w:szCs w:val="24"/>
          <w14:textFill>
            <w14:solidFill>
              <w14:schemeClr w14:val="tx1"/>
            </w14:solidFill>
          </w14:textFill>
        </w:rPr>
        <w:t>合同；2.拆除不合格</w:t>
      </w:r>
      <w:r>
        <w:rPr>
          <w:rFonts w:hint="eastAsia" w:asciiTheme="minorEastAsia" w:hAnsiTheme="minorEastAsia" w:cstheme="minorEastAsia"/>
          <w:color w:val="000000" w:themeColor="text1"/>
          <w:szCs w:val="24"/>
          <w:lang w:eastAsia="zh-CN"/>
          <w14:textFill>
            <w14:solidFill>
              <w14:schemeClr w14:val="tx1"/>
            </w14:solidFill>
          </w14:textFill>
        </w:rPr>
        <w:t>供货</w:t>
      </w:r>
      <w:r>
        <w:rPr>
          <w:rFonts w:hint="eastAsia" w:asciiTheme="minorEastAsia" w:hAnsiTheme="minorEastAsia" w:cstheme="minorEastAsia"/>
          <w:color w:val="000000" w:themeColor="text1"/>
          <w:szCs w:val="24"/>
          <w14:textFill>
            <w14:solidFill>
              <w14:schemeClr w14:val="tx1"/>
            </w14:solidFill>
          </w14:textFill>
        </w:rPr>
        <w:t>内容；3.赔偿因报价人返工给采购人带来的损失（从履约保证金中扣除）。</w:t>
      </w:r>
    </w:p>
    <w:p w14:paraId="13E33BB5">
      <w:pPr>
        <w:pStyle w:val="10"/>
        <w:rPr>
          <w:rFonts w:hint="eastAsia" w:asciiTheme="minorEastAsia" w:hAnsiTheme="minorEastAsia" w:cstheme="minorEastAsia"/>
          <w:color w:val="000000" w:themeColor="text1"/>
          <w:szCs w:val="24"/>
          <w14:textFill>
            <w14:solidFill>
              <w14:schemeClr w14:val="tx1"/>
            </w14:solidFill>
          </w14:textFill>
        </w:rPr>
      </w:pPr>
    </w:p>
    <w:p w14:paraId="4948CC6E">
      <w:pPr>
        <w:wordWrap w:val="0"/>
        <w:spacing w:after="500" w:line="288" w:lineRule="auto"/>
        <w:ind w:firstLine="480" w:firstLineChars="200"/>
        <w:jc w:val="center"/>
        <w:rPr>
          <w:rFonts w:hint="eastAsia" w:asciiTheme="minorEastAsia" w:hAnsiTheme="minorEastAsia" w:cstheme="minorEastAsia"/>
          <w:color w:val="000000" w:themeColor="text1"/>
          <w:sz w:val="24"/>
          <w:szCs w:val="24"/>
          <w:lang w:val="en-US"/>
          <w14:textFill>
            <w14:solidFill>
              <w14:schemeClr w14:val="tx1"/>
            </w14:solidFill>
          </w14:textFill>
        </w:rPr>
      </w:pPr>
    </w:p>
    <w:p w14:paraId="44F5A64D">
      <w:pPr>
        <w:wordWrap w:val="0"/>
        <w:spacing w:after="500" w:line="288" w:lineRule="auto"/>
        <w:ind w:firstLine="480" w:firstLineChars="20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报价人（公章）：</w:t>
      </w:r>
    </w:p>
    <w:p w14:paraId="4868585D">
      <w:pPr>
        <w:wordWrap w:val="0"/>
        <w:spacing w:after="500" w:line="288" w:lineRule="auto"/>
        <w:ind w:firstLine="480" w:firstLineChars="20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 xml:space="preserve">                   法定代表人或授权代表（签名或盖章）：</w:t>
      </w:r>
    </w:p>
    <w:p w14:paraId="216C8B78">
      <w:pPr>
        <w:wordWrap w:val="0"/>
        <w:spacing w:after="500" w:line="288" w:lineRule="auto"/>
        <w:ind w:firstLine="480" w:firstLineChars="20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年  月  日</w:t>
      </w:r>
    </w:p>
    <w:p w14:paraId="28FDE730">
      <w:pPr>
        <w:spacing w:before="0" w:after="0" w:line="560" w:lineRule="exact"/>
        <w:ind w:left="1760" w:leftChars="800"/>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094B216C">
      <w:pPr>
        <w:spacing w:before="0" w:after="0" w:line="560" w:lineRule="exact"/>
        <w:ind w:left="1760" w:leftChars="800"/>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3CD2C882">
      <w:pPr>
        <w:spacing w:before="0" w:after="0" w:line="560" w:lineRule="exact"/>
        <w:ind w:left="1760" w:leftChars="800"/>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708E32AF">
      <w:pPr>
        <w:spacing w:before="0" w:after="0" w:line="560" w:lineRule="exact"/>
        <w:ind w:left="1760" w:leftChars="800"/>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3082B490">
      <w:pPr>
        <w:spacing w:before="0" w:after="0" w:line="560" w:lineRule="exact"/>
        <w:jc w:val="center"/>
        <w:outlineLvl w:val="1"/>
        <w:rPr>
          <w:rFonts w:hint="eastAsia" w:asciiTheme="minorEastAsia" w:hAnsiTheme="minorEastAsia" w:cstheme="minorEastAsia"/>
          <w:b/>
          <w:bCs/>
          <w:color w:val="000000" w:themeColor="text1"/>
          <w:sz w:val="24"/>
          <w:szCs w:val="24"/>
          <w:lang w:val="en-US"/>
          <w14:textFill>
            <w14:solidFill>
              <w14:schemeClr w14:val="tx1"/>
            </w14:solidFill>
          </w14:textFill>
        </w:rPr>
        <w:sectPr>
          <w:pgSz w:w="11906" w:h="16838"/>
          <w:pgMar w:top="1134" w:right="1134" w:bottom="1134" w:left="1247" w:header="851" w:footer="992" w:gutter="0"/>
          <w:pgNumType w:fmt="decimal"/>
          <w:cols w:space="0" w:num="1"/>
          <w:docGrid w:type="lines" w:linePitch="317" w:charSpace="0"/>
        </w:sectPr>
      </w:pPr>
    </w:p>
    <w:p w14:paraId="70DB321B">
      <w:pPr>
        <w:spacing w:before="0" w:after="0" w:line="560" w:lineRule="exact"/>
        <w:jc w:val="center"/>
        <w:outlineLvl w:val="1"/>
        <w:rPr>
          <w:rFonts w:hint="eastAsia" w:asciiTheme="minorEastAsia" w:hAnsiTheme="minorEastAsia" w:cstheme="minorEastAsia"/>
          <w:b/>
          <w:bCs/>
          <w:color w:val="000000" w:themeColor="text1"/>
          <w:sz w:val="24"/>
          <w:szCs w:val="24"/>
          <w:lang w:val="en-US"/>
          <w14:textFill>
            <w14:solidFill>
              <w14:schemeClr w14:val="tx1"/>
            </w14:solidFill>
          </w14:textFill>
        </w:rPr>
      </w:pPr>
      <w:bookmarkStart w:id="132" w:name="_Toc13917"/>
      <w:r>
        <w:rPr>
          <w:rFonts w:hint="eastAsia" w:asciiTheme="minorEastAsia" w:hAnsiTheme="minorEastAsia" w:cstheme="minorEastAsia"/>
          <w:b/>
          <w:bCs/>
          <w:color w:val="000000" w:themeColor="text1"/>
          <w:sz w:val="24"/>
          <w:szCs w:val="24"/>
          <w:lang w:val="en-US"/>
          <w14:textFill>
            <w14:solidFill>
              <w14:schemeClr w14:val="tx1"/>
            </w14:solidFill>
          </w14:textFill>
        </w:rPr>
        <w:t>业绩证明文件</w:t>
      </w:r>
      <w:bookmarkEnd w:id="132"/>
    </w:p>
    <w:p w14:paraId="558586EA">
      <w:pPr>
        <w:spacing w:line="460" w:lineRule="exact"/>
        <w:jc w:val="center"/>
        <w:rPr>
          <w:rFonts w:hint="eastAsia" w:ascii="宋体" w:hAnsi="宋体" w:eastAsia="宋体" w:cs="宋体"/>
          <w:b/>
          <w:bCs/>
          <w:sz w:val="30"/>
          <w:szCs w:val="30"/>
          <w:lang w:val="en-US"/>
        </w:rPr>
      </w:pPr>
      <w:r>
        <w:rPr>
          <w:rFonts w:hint="eastAsia" w:ascii="宋体" w:hAnsi="宋体" w:eastAsia="宋体" w:cs="宋体"/>
          <w:b/>
          <w:bCs/>
          <w:sz w:val="30"/>
          <w:szCs w:val="30"/>
          <w:lang w:val="en-US"/>
        </w:rPr>
        <w:t>（格式自拟，加盖公章）</w:t>
      </w:r>
    </w:p>
    <w:p w14:paraId="125E5155">
      <w:pPr>
        <w:spacing w:line="460" w:lineRule="exact"/>
        <w:jc w:val="center"/>
        <w:rPr>
          <w:rFonts w:hint="eastAsia" w:ascii="宋体" w:hAnsi="宋体" w:eastAsia="宋体" w:cs="宋体"/>
          <w:b/>
          <w:bCs/>
          <w:sz w:val="30"/>
          <w:szCs w:val="30"/>
          <w:lang w:val="en-US"/>
        </w:rPr>
      </w:pPr>
    </w:p>
    <w:p w14:paraId="4B2C580B">
      <w:pPr>
        <w:spacing w:line="460" w:lineRule="exact"/>
        <w:jc w:val="center"/>
        <w:rPr>
          <w:rFonts w:hint="eastAsia" w:ascii="宋体" w:hAnsi="宋体" w:eastAsia="宋体" w:cs="宋体"/>
          <w:b/>
          <w:bCs/>
          <w:sz w:val="30"/>
          <w:szCs w:val="30"/>
          <w:lang w:val="en-US"/>
        </w:rPr>
      </w:pPr>
    </w:p>
    <w:p w14:paraId="55FC2025">
      <w:pPr>
        <w:spacing w:line="460" w:lineRule="exact"/>
        <w:jc w:val="center"/>
        <w:rPr>
          <w:rFonts w:hint="eastAsia" w:ascii="宋体" w:hAnsi="宋体" w:eastAsia="宋体" w:cs="宋体"/>
          <w:b/>
          <w:bCs/>
          <w:sz w:val="30"/>
          <w:szCs w:val="30"/>
          <w:lang w:val="en-US"/>
        </w:rPr>
      </w:pPr>
    </w:p>
    <w:p w14:paraId="745AACA1">
      <w:pPr>
        <w:spacing w:line="460" w:lineRule="exact"/>
        <w:jc w:val="center"/>
        <w:rPr>
          <w:rFonts w:hint="eastAsia" w:ascii="宋体" w:hAnsi="宋体" w:eastAsia="宋体" w:cs="宋体"/>
          <w:b/>
          <w:bCs/>
          <w:sz w:val="30"/>
          <w:szCs w:val="30"/>
          <w:lang w:val="en-US"/>
        </w:rPr>
      </w:pPr>
    </w:p>
    <w:p w14:paraId="5A4AAD80">
      <w:pPr>
        <w:rPr>
          <w:rFonts w:hint="eastAsia" w:ascii="宋体" w:hAnsi="宋体" w:eastAsia="宋体" w:cs="宋体"/>
          <w:b/>
          <w:bCs/>
          <w:sz w:val="30"/>
          <w:szCs w:val="30"/>
          <w:lang w:val="en-US" w:bidi="ar"/>
        </w:rPr>
      </w:pPr>
      <w:r>
        <w:rPr>
          <w:rFonts w:hint="eastAsia" w:ascii="宋体" w:hAnsi="宋体" w:eastAsia="宋体" w:cs="宋体"/>
          <w:b/>
          <w:bCs/>
          <w:sz w:val="30"/>
          <w:szCs w:val="30"/>
          <w:lang w:val="en-US" w:bidi="ar"/>
        </w:rPr>
        <w:br w:type="page"/>
      </w:r>
    </w:p>
    <w:p w14:paraId="1A60C921">
      <w:pPr>
        <w:rPr>
          <w:rFonts w:hint="eastAsia" w:asciiTheme="minorEastAsia" w:hAnsiTheme="minorEastAsia" w:cstheme="minorEastAsia"/>
          <w:b/>
          <w:bCs/>
          <w:color w:val="000000" w:themeColor="text1"/>
          <w:sz w:val="24"/>
          <w:szCs w:val="24"/>
          <w:lang w:val="en-US"/>
          <w14:textFill>
            <w14:solidFill>
              <w14:schemeClr w14:val="tx1"/>
            </w14:solidFill>
          </w14:textFill>
        </w:rPr>
      </w:pPr>
    </w:p>
    <w:p w14:paraId="1952047E">
      <w:pPr>
        <w:pStyle w:val="13"/>
        <w:numPr>
          <w:ilvl w:val="0"/>
          <w:numId w:val="0"/>
        </w:numPr>
        <w:spacing w:before="0" w:after="0" w:line="480" w:lineRule="exact"/>
        <w:jc w:val="center"/>
        <w:outlineLvl w:val="0"/>
      </w:pPr>
      <w:bookmarkStart w:id="133" w:name="_Toc28553"/>
      <w:bookmarkStart w:id="134" w:name="_Toc16406"/>
      <w:r>
        <w:rPr>
          <w:rFonts w:hint="eastAsia" w:ascii="宋体" w:hAnsi="Courier New" w:eastAsiaTheme="minorEastAsia" w:cstheme="minorBidi"/>
          <w:b/>
          <w:bCs/>
          <w:sz w:val="24"/>
          <w:szCs w:val="24"/>
          <w:lang w:val="ru-RU" w:eastAsia="zh-CN" w:bidi="ar-SA"/>
        </w:rPr>
        <w:t>八、</w:t>
      </w:r>
      <w:r>
        <w:rPr>
          <w:rFonts w:hint="eastAsia" w:hAnsi="宋体" w:eastAsia="宋体" w:cs="宋体"/>
          <w:b/>
          <w:sz w:val="30"/>
          <w:szCs w:val="36"/>
          <w:lang w:val="en-US"/>
        </w:rPr>
        <w:t>合同条款及格式</w:t>
      </w:r>
      <w:bookmarkEnd w:id="133"/>
      <w:bookmarkEnd w:id="134"/>
    </w:p>
    <w:p w14:paraId="7C5E71F7">
      <w:pPr>
        <w:spacing w:before="0" w:after="0" w:line="560" w:lineRule="exact"/>
        <w:ind w:left="1760" w:leftChars="800"/>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2B81977A">
      <w:pPr>
        <w:rPr>
          <w:rFonts w:ascii="宋体" w:hAnsi="宋体"/>
          <w:color w:val="000000"/>
          <w:sz w:val="28"/>
          <w:szCs w:val="28"/>
          <w:highlight w:val="none"/>
        </w:rPr>
      </w:pPr>
      <w:r>
        <w:rPr>
          <w:rFonts w:hint="eastAsia" w:ascii="宋体" w:hAnsi="宋体"/>
          <w:color w:val="FF0000"/>
          <w:sz w:val="28"/>
          <w:szCs w:val="28"/>
          <w:highlight w:val="none"/>
        </w:rPr>
        <w:t xml:space="preserve"> </w:t>
      </w:r>
      <w:r>
        <w:rPr>
          <w:rFonts w:hint="eastAsia" w:ascii="宋体" w:hAnsi="宋体"/>
          <w:color w:val="auto"/>
          <w:sz w:val="28"/>
          <w:szCs w:val="28"/>
          <w:highlight w:val="none"/>
          <w:lang w:eastAsia="zh-CN"/>
        </w:rPr>
        <w:t>修</w:t>
      </w:r>
      <w:r>
        <w:rPr>
          <w:rFonts w:hint="eastAsia" w:ascii="宋体" w:hAnsi="宋体"/>
          <w:color w:val="000000"/>
          <w:sz w:val="28"/>
          <w:szCs w:val="28"/>
          <w:highlight w:val="none"/>
        </w:rPr>
        <w:t xml:space="preserve"> HGJ-202</w:t>
      </w:r>
      <w:r>
        <w:rPr>
          <w:rFonts w:hint="eastAsia" w:ascii="宋体" w:hAnsi="宋体"/>
          <w:color w:val="000000"/>
          <w:sz w:val="28"/>
          <w:szCs w:val="28"/>
          <w:highlight w:val="none"/>
          <w:lang w:val="en-US" w:eastAsia="zh-CN"/>
        </w:rPr>
        <w:t>6</w:t>
      </w:r>
      <w:r>
        <w:rPr>
          <w:rFonts w:hint="eastAsia" w:ascii="宋体" w:hAnsi="宋体"/>
          <w:color w:val="000000"/>
          <w:sz w:val="28"/>
          <w:szCs w:val="28"/>
          <w:highlight w:val="none"/>
        </w:rPr>
        <w:t xml:space="preserve">-03                               </w:t>
      </w:r>
      <w:r>
        <w:rPr>
          <w:rFonts w:hint="eastAsia" w:ascii="宋体" w:hAnsi="宋体"/>
          <w:color w:val="000000"/>
          <w:szCs w:val="21"/>
          <w:highlight w:val="none"/>
        </w:rPr>
        <w:t>合同编号：</w:t>
      </w:r>
    </w:p>
    <w:p w14:paraId="1A21CA93">
      <w:pPr>
        <w:ind w:firstLine="3614" w:firstLineChars="1000"/>
        <w:rPr>
          <w:rFonts w:ascii="宋体" w:hAnsi="宋体" w:cs="宋体"/>
          <w:b/>
          <w:color w:val="000000"/>
          <w:kern w:val="0"/>
          <w:sz w:val="36"/>
          <w:szCs w:val="36"/>
          <w:highlight w:val="none"/>
        </w:rPr>
      </w:pPr>
      <w:r>
        <w:rPr>
          <w:rFonts w:hint="default" w:ascii="宋体" w:hAnsi="宋体" w:cs="宋体"/>
          <w:b/>
          <w:color w:val="000000"/>
          <w:kern w:val="0"/>
          <w:sz w:val="36"/>
          <w:szCs w:val="36"/>
          <w:highlight w:val="none"/>
          <w:lang w:val="en-US"/>
        </w:rPr>
        <mc:AlternateContent>
          <mc:Choice Requires="wps">
            <w:drawing>
              <wp:anchor distT="0" distB="0" distL="114300" distR="114300" simplePos="0" relativeHeight="251660288" behindDoc="0" locked="0" layoutInCell="1" allowOverlap="1">
                <wp:simplePos x="0" y="0"/>
                <wp:positionH relativeFrom="column">
                  <wp:posOffset>4014470</wp:posOffset>
                </wp:positionH>
                <wp:positionV relativeFrom="paragraph">
                  <wp:posOffset>363220</wp:posOffset>
                </wp:positionV>
                <wp:extent cx="2301875" cy="1465580"/>
                <wp:effectExtent l="0" t="0" r="3175" b="1270"/>
                <wp:wrapNone/>
                <wp:docPr id="2" name="文本框 2"/>
                <wp:cNvGraphicFramePr/>
                <a:graphic xmlns:a="http://schemas.openxmlformats.org/drawingml/2006/main">
                  <a:graphicData uri="http://schemas.microsoft.com/office/word/2010/wordprocessingShape">
                    <wps:wsp>
                      <wps:cNvSpPr txBox="1"/>
                      <wps:spPr>
                        <a:xfrm>
                          <a:off x="4609465" y="1320165"/>
                          <a:ext cx="2301875" cy="1465580"/>
                        </a:xfrm>
                        <a:prstGeom prst="rect">
                          <a:avLst/>
                        </a:prstGeom>
                        <a:solidFill>
                          <a:srgbClr val="FFFFFF"/>
                        </a:solidFill>
                        <a:ln w="6350">
                          <a:noFill/>
                        </a:ln>
                        <a:effectLst/>
                      </wps:spPr>
                      <wps:txbx>
                        <w:txbxContent>
                          <w:p w14:paraId="5D3AE447">
                            <w:pPr>
                              <w:rPr>
                                <w:highlight w:val="none"/>
                              </w:rPr>
                            </w:pPr>
                            <w:r>
                              <w:rPr>
                                <w:rFonts w:hint="eastAsia"/>
                                <w:color w:val="000000" w:themeColor="text1"/>
                                <w14:textFill>
                                  <w14:solidFill>
                                    <w14:schemeClr w14:val="tx1"/>
                                  </w14:solidFill>
                                </w14:textFill>
                              </w:rPr>
                              <w:t>工程名称：</w:t>
                            </w:r>
                            <w:r>
                              <w:rPr>
                                <w:rFonts w:hint="eastAsia"/>
                                <w:color w:val="000000" w:themeColor="text1"/>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ascii="仿宋_GB2312" w:hAnsi="仿宋_GB2312" w:eastAsia="仿宋_GB2312" w:cs="仿宋_GB2312"/>
                                <w:i/>
                                <w:iCs/>
                                <w:color w:val="000000"/>
                                <w:kern w:val="0"/>
                                <w:szCs w:val="21"/>
                                <w:highlight w:val="none"/>
                                <w:u w:val="single"/>
                              </w:rPr>
                              <w:t>（必填项）</w:t>
                            </w:r>
                            <w:r>
                              <w:rPr>
                                <w:rFonts w:hint="eastAsia"/>
                                <w:color w:val="000000" w:themeColor="text1"/>
                                <w:highlight w:val="none"/>
                                <w:u w:val="single"/>
                                <w14:textFill>
                                  <w14:solidFill>
                                    <w14:schemeClr w14:val="tx1"/>
                                  </w14:solidFill>
                                </w14:textFill>
                              </w:rPr>
                              <w:t xml:space="preserve">          </w:t>
                            </w:r>
                          </w:p>
                          <w:p w14:paraId="76CB70D1">
                            <w:pPr>
                              <w:rPr>
                                <w:highlight w:val="none"/>
                              </w:rPr>
                            </w:pPr>
                            <w:r>
                              <w:rPr>
                                <w:rFonts w:hint="eastAsia"/>
                                <w:highlight w:val="none"/>
                              </w:rPr>
                              <w:t>签订地点：淮北市相山区</w:t>
                            </w:r>
                          </w:p>
                          <w:p w14:paraId="167C155A">
                            <w:pPr>
                              <w:rPr>
                                <w:rFonts w:hint="eastAsia"/>
                                <w:highlight w:val="none"/>
                              </w:rPr>
                            </w:pPr>
                            <w:r>
                              <w:rPr>
                                <w:rFonts w:hint="eastAsia"/>
                                <w:highlight w:val="none"/>
                              </w:rPr>
                              <w:t>签订时间：    年    月    日</w:t>
                            </w:r>
                          </w:p>
                          <w:p w14:paraId="76102964">
                            <w:pPr>
                              <w:rPr>
                                <w:rFonts w:hint="default" w:eastAsia="宋体"/>
                                <w:highlight w:val="none"/>
                                <w:lang w:val="en-US" w:eastAsia="zh-CN"/>
                              </w:rPr>
                            </w:pPr>
                            <w:r>
                              <w:rPr>
                                <w:rFonts w:hint="eastAsia"/>
                                <w:highlight w:val="none"/>
                                <w:lang w:eastAsia="zh-CN"/>
                              </w:rPr>
                              <w:t>（</w:t>
                            </w:r>
                            <w:r>
                              <w:rPr>
                                <w:rFonts w:hint="eastAsia"/>
                                <w:highlight w:val="none"/>
                                <w:lang w:val="en-US" w:eastAsia="zh-CN"/>
                              </w:rPr>
                              <w:t>以上传合同审查时间为准）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6.1pt;margin-top:28.6pt;height:115.4pt;width:181.25pt;z-index:251660288;mso-width-relative:page;mso-height-relative:page;" fillcolor="#FFFFFF" filled="t" stroked="f" coordsize="21600,21600" o:gfxdata="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ajD9DWAAAACgEAAA8AAAAAAAAAAQAgAAAAIgAAAGRycy9kb3ducmV2LnhtbFBLAQIUABQAAAAI&#10;AIdO4kCVqmDAYQIAAKoEAAAOAAAAAAAAAAEAIAAAACUBAABkcnMvZTJvRG9jLnhtbFBLBQYAAAAA&#10;BgAGAFkBAAD4BQAAAAA=&#10;">
                <v:fill on="t" focussize="0,0"/>
                <v:stroke on="f" weight="0.5pt"/>
                <v:imagedata o:title=""/>
                <o:lock v:ext="edit" aspectratio="f"/>
                <v:textbox>
                  <w:txbxContent>
                    <w:p w14:paraId="5D3AE447">
                      <w:pPr>
                        <w:rPr>
                          <w:highlight w:val="none"/>
                        </w:rPr>
                      </w:pPr>
                      <w:r>
                        <w:rPr>
                          <w:rFonts w:hint="eastAsia"/>
                          <w:color w:val="000000" w:themeColor="text1"/>
                          <w14:textFill>
                            <w14:solidFill>
                              <w14:schemeClr w14:val="tx1"/>
                            </w14:solidFill>
                          </w14:textFill>
                        </w:rPr>
                        <w:t>工程名称：</w:t>
                      </w:r>
                      <w:r>
                        <w:rPr>
                          <w:rFonts w:hint="eastAsia"/>
                          <w:color w:val="000000" w:themeColor="text1"/>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ascii="仿宋_GB2312" w:hAnsi="仿宋_GB2312" w:eastAsia="仿宋_GB2312" w:cs="仿宋_GB2312"/>
                          <w:i/>
                          <w:iCs/>
                          <w:color w:val="000000"/>
                          <w:kern w:val="0"/>
                          <w:szCs w:val="21"/>
                          <w:highlight w:val="none"/>
                          <w:u w:val="single"/>
                        </w:rPr>
                        <w:t>（必填项）</w:t>
                      </w:r>
                      <w:r>
                        <w:rPr>
                          <w:rFonts w:hint="eastAsia"/>
                          <w:color w:val="000000" w:themeColor="text1"/>
                          <w:highlight w:val="none"/>
                          <w:u w:val="single"/>
                          <w14:textFill>
                            <w14:solidFill>
                              <w14:schemeClr w14:val="tx1"/>
                            </w14:solidFill>
                          </w14:textFill>
                        </w:rPr>
                        <w:t xml:space="preserve">          </w:t>
                      </w:r>
                    </w:p>
                    <w:p w14:paraId="76CB70D1">
                      <w:pPr>
                        <w:rPr>
                          <w:highlight w:val="none"/>
                        </w:rPr>
                      </w:pPr>
                      <w:r>
                        <w:rPr>
                          <w:rFonts w:hint="eastAsia"/>
                          <w:highlight w:val="none"/>
                        </w:rPr>
                        <w:t>签订地点：淮北市相山区</w:t>
                      </w:r>
                    </w:p>
                    <w:p w14:paraId="167C155A">
                      <w:pPr>
                        <w:rPr>
                          <w:rFonts w:hint="eastAsia"/>
                          <w:highlight w:val="none"/>
                        </w:rPr>
                      </w:pPr>
                      <w:r>
                        <w:rPr>
                          <w:rFonts w:hint="eastAsia"/>
                          <w:highlight w:val="none"/>
                        </w:rPr>
                        <w:t>签订时间：    年    月    日</w:t>
                      </w:r>
                    </w:p>
                    <w:p w14:paraId="76102964">
                      <w:pPr>
                        <w:rPr>
                          <w:rFonts w:hint="default" w:eastAsia="宋体"/>
                          <w:highlight w:val="none"/>
                          <w:lang w:val="en-US" w:eastAsia="zh-CN"/>
                        </w:rPr>
                      </w:pPr>
                      <w:r>
                        <w:rPr>
                          <w:rFonts w:hint="eastAsia"/>
                          <w:highlight w:val="none"/>
                          <w:lang w:eastAsia="zh-CN"/>
                        </w:rPr>
                        <w:t>（</w:t>
                      </w:r>
                      <w:r>
                        <w:rPr>
                          <w:rFonts w:hint="eastAsia"/>
                          <w:highlight w:val="none"/>
                          <w:lang w:val="en-US" w:eastAsia="zh-CN"/>
                        </w:rPr>
                        <w:t>以上传合同审查时间为准）</w:t>
                      </w:r>
                    </w:p>
                  </w:txbxContent>
                </v:textbox>
              </v:shape>
            </w:pict>
          </mc:Fallback>
        </mc:AlternateContent>
      </w:r>
      <w:r>
        <w:rPr>
          <w:rFonts w:hint="eastAsia" w:ascii="宋体" w:hAnsi="宋体" w:cs="宋体"/>
          <w:b/>
          <w:color w:val="000000"/>
          <w:kern w:val="0"/>
          <w:sz w:val="36"/>
          <w:szCs w:val="36"/>
          <w:highlight w:val="none"/>
          <w:lang w:val="en-US" w:eastAsia="zh-CN"/>
        </w:rPr>
        <w:t>电梯</w:t>
      </w:r>
      <w:r>
        <w:rPr>
          <w:rFonts w:hint="eastAsia" w:ascii="宋体" w:hAnsi="宋体" w:cs="宋体"/>
          <w:b/>
          <w:color w:val="000000"/>
          <w:kern w:val="0"/>
          <w:sz w:val="36"/>
          <w:szCs w:val="36"/>
          <w:highlight w:val="none"/>
        </w:rPr>
        <w:t>采购合同</w:t>
      </w:r>
    </w:p>
    <w:p w14:paraId="4580E495">
      <w:pPr>
        <w:ind w:firstLine="3213" w:firstLineChars="1000"/>
        <w:rPr>
          <w:rFonts w:cs="楷体_GB2312" w:asciiTheme="majorEastAsia" w:hAnsiTheme="majorEastAsia" w:eastAsiaTheme="majorEastAsia"/>
          <w:b/>
          <w:color w:val="000000"/>
          <w:kern w:val="0"/>
          <w:sz w:val="32"/>
          <w:szCs w:val="32"/>
          <w:highlight w:val="none"/>
        </w:rPr>
      </w:pPr>
    </w:p>
    <w:p w14:paraId="330A14E5">
      <w:pPr>
        <w:rPr>
          <w:rFonts w:hint="eastAsia" w:ascii="仿宋_GB2312" w:hAnsi="仿宋_GB2312" w:eastAsia="仿宋_GB2312" w:cs="仿宋_GB2312"/>
          <w:b/>
          <w:bCs/>
          <w:color w:val="000000"/>
          <w:kern w:val="0"/>
          <w:szCs w:val="21"/>
          <w:highlight w:val="none"/>
        </w:rPr>
      </w:pPr>
      <w:r>
        <w:rPr>
          <w:rFonts w:hint="eastAsia" w:ascii="宋体" w:hAnsi="宋体" w:cs="宋体"/>
          <w:b/>
          <w:bCs/>
          <w:color w:val="000000"/>
          <w:kern w:val="0"/>
          <w:szCs w:val="21"/>
          <w:highlight w:val="none"/>
        </w:rPr>
        <w:t>出卖人：</w:t>
      </w:r>
      <w:r>
        <w:rPr>
          <w:rFonts w:hint="eastAsia" w:ascii="仿宋_GB2312" w:hAnsi="仿宋_GB2312" w:eastAsia="仿宋_GB2312" w:cs="仿宋_GB2312"/>
          <w:i/>
          <w:iCs/>
          <w:color w:val="000000"/>
          <w:kern w:val="0"/>
          <w:szCs w:val="21"/>
          <w:highlight w:val="none"/>
        </w:rPr>
        <w:t>（企业全称）</w:t>
      </w:r>
    </w:p>
    <w:p w14:paraId="573D6A3C">
      <w:pPr>
        <w:rPr>
          <w:rFonts w:ascii="宋体" w:hAnsi="宋体" w:cs="宋体"/>
          <w:b/>
          <w:bCs/>
          <w:color w:val="000000"/>
          <w:kern w:val="0"/>
          <w:szCs w:val="21"/>
        </w:rPr>
      </w:pPr>
      <w:r>
        <w:rPr>
          <w:rFonts w:hint="eastAsia" w:ascii="宋体" w:hAnsi="宋体" w:cs="宋体"/>
          <w:b/>
          <w:bCs/>
          <w:color w:val="000000"/>
          <w:kern w:val="0"/>
          <w:szCs w:val="21"/>
        </w:rPr>
        <w:t>买受人：淮北矿业（集团）工程建设有限责任公司</w:t>
      </w:r>
    </w:p>
    <w:p w14:paraId="01126F00">
      <w:pPr>
        <w:rPr>
          <w:rFonts w:ascii="宋体" w:hAnsi="宋体" w:cs="宋体"/>
          <w:color w:val="000000"/>
          <w:kern w:val="0"/>
          <w:sz w:val="18"/>
          <w:szCs w:val="18"/>
        </w:rPr>
      </w:pPr>
      <w:r>
        <w:rPr>
          <w:b/>
          <w:bCs/>
          <w:szCs w:val="21"/>
        </w:rPr>
        <mc:AlternateContent>
          <mc:Choice Requires="wps">
            <w:drawing>
              <wp:anchor distT="0" distB="0" distL="114300" distR="114300" simplePos="0" relativeHeight="251661312" behindDoc="0" locked="0" layoutInCell="1" allowOverlap="1">
                <wp:simplePos x="0" y="0"/>
                <wp:positionH relativeFrom="column">
                  <wp:posOffset>-5080</wp:posOffset>
                </wp:positionH>
                <wp:positionV relativeFrom="paragraph">
                  <wp:posOffset>74930</wp:posOffset>
                </wp:positionV>
                <wp:extent cx="3166745" cy="0"/>
                <wp:effectExtent l="0" t="13970" r="14605" b="24130"/>
                <wp:wrapNone/>
                <wp:docPr id="5" name="直接连接符 5"/>
                <wp:cNvGraphicFramePr/>
                <a:graphic xmlns:a="http://schemas.openxmlformats.org/drawingml/2006/main">
                  <a:graphicData uri="http://schemas.microsoft.com/office/word/2010/wordprocessingShape">
                    <wps:wsp>
                      <wps:cNvCnPr/>
                      <wps:spPr>
                        <a:xfrm>
                          <a:off x="680720" y="1701165"/>
                          <a:ext cx="3166745" cy="0"/>
                        </a:xfrm>
                        <a:prstGeom prst="line">
                          <a:avLst/>
                        </a:prstGeom>
                        <a:noFill/>
                        <a:ln w="28575" cap="flat" cmpd="sng" algn="ctr">
                          <a:solidFill>
                            <a:srgbClr val="000000"/>
                          </a:solidFill>
                          <a:prstDash val="solid"/>
                          <a:miter lim="800000"/>
                        </a:ln>
                        <a:effectLst/>
                      </wps:spPr>
                      <wps:bodyPr/>
                    </wps:wsp>
                  </a:graphicData>
                </a:graphic>
              </wp:anchor>
            </w:drawing>
          </mc:Choice>
          <mc:Fallback>
            <w:pict>
              <v:line id="_x0000_s1026" o:spid="_x0000_s1026" o:spt="20" style="position:absolute;left:0pt;margin-left:-0.4pt;margin-top:5.9pt;height:0pt;width:249.35pt;z-index:251661312;mso-width-relative:page;mso-height-relative:page;" filled="f" stroked="t" coordsize="21600,21600" o:gfxdata="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5L76NIAAAAHAQAADwAAAAAAAAABACAAAAAiAAAAZHJzL2Rvd25yZXYueG1sUEsBAhQAFAAA&#10;AAgAh07iQIbqz4z1AQAAywMAAA4AAAAAAAAAAQAgAAAAIQEAAGRycy9lMm9Eb2MueG1sUEsFBgAA&#10;AAAGAAYAWQEAAIgFAAAAAA==&#10;">
                <v:fill on="f" focussize="0,0"/>
                <v:stroke weight="2.25pt" color="#000000" miterlimit="8" joinstyle="miter"/>
                <v:imagedata o:title=""/>
                <o:lock v:ext="edit" aspectratio="f"/>
              </v:line>
            </w:pict>
          </mc:Fallback>
        </mc:AlternateContent>
      </w:r>
    </w:p>
    <w:p w14:paraId="69EC22BA">
      <w:pPr>
        <w:snapToGrid w:val="0"/>
        <w:spacing w:line="340" w:lineRule="exact"/>
        <w:rPr>
          <w:rFonts w:ascii="宋体" w:hAnsi="宋体" w:cs="宋体"/>
          <w:color w:val="000000"/>
          <w:kern w:val="0"/>
          <w:sz w:val="24"/>
        </w:rPr>
      </w:pPr>
      <w:r>
        <w:rPr>
          <w:rFonts w:hint="eastAsia" w:ascii="宋体" w:hAnsi="宋体" w:cs="宋体"/>
          <w:b/>
          <w:color w:val="000000"/>
          <w:kern w:val="0"/>
          <w:sz w:val="24"/>
        </w:rPr>
        <w:t>第一条</w:t>
      </w:r>
      <w:r>
        <w:rPr>
          <w:rFonts w:hint="eastAsia" w:ascii="宋体" w:hAnsi="宋体" w:cs="宋体"/>
          <w:color w:val="000000"/>
          <w:kern w:val="0"/>
          <w:sz w:val="24"/>
        </w:rPr>
        <w:t xml:space="preserve"> 标的、 数量及价款</w:t>
      </w:r>
    </w:p>
    <w:tbl>
      <w:tblPr>
        <w:tblStyle w:val="21"/>
        <w:tblW w:w="4996" w:type="pct"/>
        <w:jc w:val="center"/>
        <w:tblLayout w:type="autofit"/>
        <w:tblCellMar>
          <w:top w:w="0" w:type="dxa"/>
          <w:left w:w="108" w:type="dxa"/>
          <w:bottom w:w="0" w:type="dxa"/>
          <w:right w:w="108" w:type="dxa"/>
        </w:tblCellMar>
      </w:tblPr>
      <w:tblGrid>
        <w:gridCol w:w="597"/>
        <w:gridCol w:w="968"/>
        <w:gridCol w:w="598"/>
        <w:gridCol w:w="598"/>
        <w:gridCol w:w="598"/>
        <w:gridCol w:w="988"/>
        <w:gridCol w:w="981"/>
        <w:gridCol w:w="1131"/>
        <w:gridCol w:w="840"/>
        <w:gridCol w:w="1216"/>
      </w:tblGrid>
      <w:tr w14:paraId="6A25682B">
        <w:tblPrEx>
          <w:tblCellMar>
            <w:top w:w="0" w:type="dxa"/>
            <w:left w:w="108" w:type="dxa"/>
            <w:bottom w:w="0" w:type="dxa"/>
            <w:right w:w="108" w:type="dxa"/>
          </w:tblCellMar>
        </w:tblPrEx>
        <w:trPr>
          <w:trHeight w:val="0" w:hRule="atLeast"/>
          <w:jc w:val="center"/>
        </w:trPr>
        <w:tc>
          <w:tcPr>
            <w:tcW w:w="3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EFB842">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序号</w:t>
            </w:r>
          </w:p>
        </w:tc>
        <w:tc>
          <w:tcPr>
            <w:tcW w:w="5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D60648">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产品名称</w:t>
            </w:r>
          </w:p>
        </w:tc>
        <w:tc>
          <w:tcPr>
            <w:tcW w:w="3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0A59E8">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型号</w:t>
            </w:r>
          </w:p>
        </w:tc>
        <w:tc>
          <w:tcPr>
            <w:tcW w:w="3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D2093">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规格</w:t>
            </w:r>
          </w:p>
        </w:tc>
        <w:tc>
          <w:tcPr>
            <w:tcW w:w="3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A9579C">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单位</w:t>
            </w:r>
          </w:p>
        </w:tc>
        <w:tc>
          <w:tcPr>
            <w:tcW w:w="57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0584FA">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暂定数量</w:t>
            </w:r>
          </w:p>
        </w:tc>
        <w:tc>
          <w:tcPr>
            <w:tcW w:w="17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1B75C2">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单价（元）</w:t>
            </w:r>
          </w:p>
        </w:tc>
        <w:tc>
          <w:tcPr>
            <w:tcW w:w="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908C2">
            <w:pPr>
              <w:widowControl/>
              <w:snapToGrid w:val="0"/>
              <w:jc w:val="center"/>
              <w:textAlignment w:val="center"/>
              <w:rPr>
                <w:rFonts w:ascii="宋体" w:hAnsi="宋体" w:cs="宋体"/>
                <w:color w:val="000000"/>
                <w:szCs w:val="21"/>
              </w:rPr>
            </w:pPr>
            <w:r>
              <w:rPr>
                <w:rFonts w:hint="eastAsia" w:ascii="宋体" w:hAnsi="宋体" w:cs="宋体"/>
                <w:color w:val="000000"/>
                <w:kern w:val="0"/>
                <w:szCs w:val="21"/>
                <w:lang w:bidi="ar"/>
              </w:rPr>
              <w:t>小计（元）</w:t>
            </w:r>
          </w:p>
        </w:tc>
      </w:tr>
      <w:tr w14:paraId="44FC6AD6">
        <w:tblPrEx>
          <w:tblCellMar>
            <w:top w:w="0" w:type="dxa"/>
            <w:left w:w="108" w:type="dxa"/>
            <w:bottom w:w="0" w:type="dxa"/>
            <w:right w:w="108" w:type="dxa"/>
          </w:tblCellMar>
        </w:tblPrEx>
        <w:trPr>
          <w:trHeight w:val="0" w:hRule="atLeast"/>
          <w:jc w:val="center"/>
        </w:trPr>
        <w:tc>
          <w:tcPr>
            <w:tcW w:w="3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D6CF5">
            <w:pPr>
              <w:snapToGrid w:val="0"/>
              <w:jc w:val="center"/>
              <w:rPr>
                <w:rFonts w:ascii="宋体" w:hAnsi="宋体" w:cs="宋体"/>
                <w:color w:val="000000"/>
                <w:sz w:val="18"/>
                <w:szCs w:val="18"/>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1DE69">
            <w:pPr>
              <w:snapToGrid w:val="0"/>
              <w:jc w:val="center"/>
              <w:rPr>
                <w:rFonts w:ascii="宋体" w:hAnsi="宋体" w:cs="宋体"/>
                <w:color w:val="000000"/>
                <w:sz w:val="18"/>
                <w:szCs w:val="18"/>
              </w:rPr>
            </w:pPr>
          </w:p>
        </w:tc>
        <w:tc>
          <w:tcPr>
            <w:tcW w:w="3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08119">
            <w:pPr>
              <w:snapToGrid w:val="0"/>
              <w:jc w:val="center"/>
              <w:rPr>
                <w:rFonts w:ascii="宋体" w:hAnsi="宋体" w:cs="宋体"/>
                <w:color w:val="000000"/>
                <w:sz w:val="18"/>
                <w:szCs w:val="18"/>
              </w:rPr>
            </w:pPr>
          </w:p>
        </w:tc>
        <w:tc>
          <w:tcPr>
            <w:tcW w:w="3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10D29">
            <w:pPr>
              <w:snapToGrid w:val="0"/>
              <w:jc w:val="center"/>
              <w:rPr>
                <w:rFonts w:ascii="宋体" w:hAnsi="宋体" w:cs="宋体"/>
                <w:color w:val="000000"/>
                <w:sz w:val="18"/>
                <w:szCs w:val="18"/>
              </w:rPr>
            </w:pPr>
          </w:p>
        </w:tc>
        <w:tc>
          <w:tcPr>
            <w:tcW w:w="3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4F8B9">
            <w:pPr>
              <w:snapToGrid w:val="0"/>
              <w:jc w:val="center"/>
              <w:rPr>
                <w:rFonts w:ascii="宋体" w:hAnsi="宋体" w:cs="宋体"/>
                <w:color w:val="000000"/>
                <w:sz w:val="18"/>
                <w:szCs w:val="18"/>
              </w:rPr>
            </w:pPr>
          </w:p>
        </w:tc>
        <w:tc>
          <w:tcPr>
            <w:tcW w:w="5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F691E">
            <w:pPr>
              <w:snapToGrid w:val="0"/>
              <w:jc w:val="center"/>
              <w:rPr>
                <w:rFonts w:ascii="宋体" w:hAnsi="宋体" w:cs="宋体"/>
                <w:color w:val="000000"/>
                <w:sz w:val="18"/>
                <w:szCs w:val="18"/>
              </w:rPr>
            </w:pPr>
          </w:p>
        </w:tc>
        <w:tc>
          <w:tcPr>
            <w:tcW w:w="576" w:type="pct"/>
            <w:tcBorders>
              <w:top w:val="single" w:color="000000" w:sz="4" w:space="0"/>
              <w:left w:val="single" w:color="000000" w:sz="4" w:space="0"/>
              <w:right w:val="single" w:color="000000" w:sz="4" w:space="0"/>
            </w:tcBorders>
            <w:shd w:val="clear" w:color="auto" w:fill="auto"/>
            <w:vAlign w:val="center"/>
          </w:tcPr>
          <w:p w14:paraId="2732604D">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不含税单价</w:t>
            </w: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15735">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材料增值税额</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63444">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含税单价</w:t>
            </w:r>
          </w:p>
        </w:tc>
        <w:tc>
          <w:tcPr>
            <w:tcW w:w="713" w:type="pct"/>
            <w:tcBorders>
              <w:top w:val="single" w:color="000000" w:sz="4" w:space="0"/>
              <w:left w:val="single" w:color="000000" w:sz="4" w:space="0"/>
              <w:right w:val="single" w:color="000000" w:sz="4" w:space="0"/>
            </w:tcBorders>
            <w:shd w:val="clear" w:color="auto" w:fill="auto"/>
            <w:vAlign w:val="center"/>
          </w:tcPr>
          <w:p w14:paraId="7BD1B5AB">
            <w:pPr>
              <w:snapToGrid w:val="0"/>
              <w:jc w:val="center"/>
              <w:rPr>
                <w:rFonts w:ascii="宋体" w:hAnsi="宋体" w:cs="宋体"/>
                <w:color w:val="000000"/>
                <w:sz w:val="18"/>
                <w:szCs w:val="18"/>
              </w:rPr>
            </w:pPr>
          </w:p>
        </w:tc>
      </w:tr>
      <w:tr w14:paraId="25776C7B">
        <w:tblPrEx>
          <w:tblCellMar>
            <w:top w:w="0" w:type="dxa"/>
            <w:left w:w="108" w:type="dxa"/>
            <w:bottom w:w="0" w:type="dxa"/>
            <w:right w:w="108" w:type="dxa"/>
          </w:tblCellMar>
        </w:tblPrEx>
        <w:trPr>
          <w:trHeight w:val="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B4625">
            <w:pPr>
              <w:widowControl/>
              <w:snapToGrid w:val="0"/>
              <w:spacing w:line="360" w:lineRule="auto"/>
              <w:jc w:val="center"/>
              <w:textAlignment w:val="center"/>
              <w:rPr>
                <w:rFonts w:ascii="宋体" w:hAnsi="宋体" w:cs="宋体"/>
                <w:color w:val="000000"/>
                <w:sz w:val="18"/>
                <w:szCs w:val="18"/>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9F673">
            <w:pPr>
              <w:widowControl/>
              <w:snapToGrid w:val="0"/>
              <w:spacing w:line="360" w:lineRule="auto"/>
              <w:jc w:val="center"/>
              <w:textAlignment w:val="center"/>
              <w:rPr>
                <w:rFonts w:ascii="宋体" w:hAnsi="宋体" w:cs="宋体"/>
                <w:color w:val="000000"/>
                <w:sz w:val="18"/>
                <w:szCs w:val="18"/>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5168C">
            <w:pPr>
              <w:widowControl/>
              <w:snapToGrid w:val="0"/>
              <w:spacing w:line="360" w:lineRule="auto"/>
              <w:jc w:val="center"/>
              <w:textAlignment w:val="center"/>
              <w:rPr>
                <w:rFonts w:ascii="宋体" w:hAnsi="宋体" w:cs="宋体"/>
                <w:color w:val="000000"/>
                <w:szCs w:val="21"/>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95564">
            <w:pPr>
              <w:snapToGrid w:val="0"/>
              <w:rPr>
                <w:rFonts w:ascii="宋体" w:hAnsi="宋体" w:cs="宋体"/>
                <w:color w:val="000000"/>
                <w:sz w:val="20"/>
                <w:szCs w:val="20"/>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DE861">
            <w:pPr>
              <w:widowControl/>
              <w:snapToGrid w:val="0"/>
              <w:jc w:val="center"/>
              <w:textAlignment w:val="center"/>
              <w:rPr>
                <w:rFonts w:ascii="宋体" w:hAnsi="宋体" w:cs="宋体"/>
                <w:color w:val="000000"/>
                <w:szCs w:val="21"/>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28EE4">
            <w:pPr>
              <w:widowControl/>
              <w:snapToGrid w:val="0"/>
              <w:jc w:val="center"/>
              <w:textAlignment w:val="center"/>
              <w:rPr>
                <w:rFonts w:ascii="宋体" w:hAnsi="宋体" w:cs="宋体"/>
                <w:color w:val="000000"/>
                <w:szCs w:val="21"/>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F1B55">
            <w:pPr>
              <w:widowControl/>
              <w:snapToGrid w:val="0"/>
              <w:textAlignment w:val="center"/>
              <w:rPr>
                <w:rFonts w:ascii="宋体" w:hAnsi="宋体" w:cs="宋体"/>
                <w:color w:val="000000"/>
                <w:szCs w:val="21"/>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D6476">
            <w:pPr>
              <w:snapToGrid w:val="0"/>
              <w:rPr>
                <w:rFonts w:ascii="宋体" w:hAnsi="宋体" w:cs="宋体"/>
                <w:color w:val="000000"/>
                <w:szCs w:val="21"/>
              </w:rPr>
            </w:pP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155E7">
            <w:pPr>
              <w:widowControl/>
              <w:snapToGrid w:val="0"/>
              <w:jc w:val="center"/>
              <w:textAlignment w:val="center"/>
              <w:rPr>
                <w:rFonts w:ascii="宋体" w:hAnsi="宋体" w:cs="宋体"/>
                <w:color w:val="000000"/>
                <w:szCs w:val="21"/>
              </w:rPr>
            </w:pPr>
          </w:p>
        </w:tc>
        <w:tc>
          <w:tcPr>
            <w:tcW w:w="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60861">
            <w:pPr>
              <w:widowControl/>
              <w:snapToGrid w:val="0"/>
              <w:jc w:val="center"/>
              <w:textAlignment w:val="center"/>
              <w:rPr>
                <w:rFonts w:ascii="宋体" w:hAnsi="宋体" w:cs="宋体"/>
                <w:color w:val="000000"/>
                <w:szCs w:val="21"/>
              </w:rPr>
            </w:pPr>
          </w:p>
        </w:tc>
      </w:tr>
      <w:tr w14:paraId="65EEE0FF">
        <w:tblPrEx>
          <w:tblCellMar>
            <w:top w:w="0" w:type="dxa"/>
            <w:left w:w="108" w:type="dxa"/>
            <w:bottom w:w="0" w:type="dxa"/>
            <w:right w:w="108" w:type="dxa"/>
          </w:tblCellMar>
        </w:tblPrEx>
        <w:trPr>
          <w:trHeight w:val="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8F">
            <w:pPr>
              <w:widowControl/>
              <w:snapToGrid w:val="0"/>
              <w:spacing w:line="360" w:lineRule="auto"/>
              <w:jc w:val="center"/>
              <w:textAlignment w:val="center"/>
              <w:rPr>
                <w:rFonts w:ascii="宋体" w:hAnsi="宋体" w:cs="宋体"/>
                <w:color w:val="000000"/>
                <w:sz w:val="18"/>
                <w:szCs w:val="18"/>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E16D4">
            <w:pPr>
              <w:widowControl/>
              <w:snapToGrid w:val="0"/>
              <w:spacing w:line="360" w:lineRule="auto"/>
              <w:jc w:val="center"/>
              <w:textAlignment w:val="center"/>
              <w:rPr>
                <w:rFonts w:ascii="宋体" w:hAnsi="宋体" w:cs="宋体"/>
                <w:color w:val="000000"/>
                <w:sz w:val="18"/>
                <w:szCs w:val="18"/>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FCE55">
            <w:pPr>
              <w:widowControl/>
              <w:snapToGrid w:val="0"/>
              <w:spacing w:line="360" w:lineRule="auto"/>
              <w:jc w:val="center"/>
              <w:textAlignment w:val="center"/>
              <w:rPr>
                <w:rFonts w:ascii="宋体" w:hAnsi="宋体" w:cs="宋体"/>
                <w:color w:val="000000"/>
                <w:szCs w:val="21"/>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8405">
            <w:pPr>
              <w:snapToGrid w:val="0"/>
              <w:rPr>
                <w:rFonts w:ascii="宋体" w:hAnsi="宋体" w:cs="宋体"/>
                <w:color w:val="000000"/>
                <w:sz w:val="20"/>
                <w:szCs w:val="20"/>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31DCB">
            <w:pPr>
              <w:snapToGrid w:val="0"/>
              <w:jc w:val="center"/>
              <w:rPr>
                <w:rFonts w:ascii="宋体" w:hAnsi="宋体" w:cs="宋体"/>
                <w:color w:val="000000"/>
                <w:szCs w:val="21"/>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398BC">
            <w:pPr>
              <w:widowControl/>
              <w:snapToGrid w:val="0"/>
              <w:jc w:val="center"/>
              <w:textAlignment w:val="center"/>
              <w:rPr>
                <w:rFonts w:ascii="宋体" w:hAnsi="宋体" w:cs="宋体"/>
                <w:color w:val="000000"/>
                <w:szCs w:val="21"/>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DC7BF">
            <w:pPr>
              <w:widowControl/>
              <w:snapToGrid w:val="0"/>
              <w:textAlignment w:val="center"/>
              <w:rPr>
                <w:rFonts w:ascii="宋体" w:hAnsi="宋体" w:cs="宋体"/>
                <w:color w:val="000000"/>
                <w:szCs w:val="21"/>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B8E07">
            <w:pPr>
              <w:snapToGrid w:val="0"/>
              <w:rPr>
                <w:rFonts w:ascii="宋体" w:hAnsi="宋体" w:cs="宋体"/>
                <w:color w:val="000000"/>
                <w:szCs w:val="21"/>
              </w:rPr>
            </w:pP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2FDF3">
            <w:pPr>
              <w:widowControl/>
              <w:snapToGrid w:val="0"/>
              <w:jc w:val="center"/>
              <w:textAlignment w:val="center"/>
              <w:rPr>
                <w:rFonts w:ascii="宋体" w:hAnsi="宋体" w:cs="宋体"/>
                <w:color w:val="000000"/>
                <w:szCs w:val="21"/>
              </w:rPr>
            </w:pPr>
          </w:p>
        </w:tc>
        <w:tc>
          <w:tcPr>
            <w:tcW w:w="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B6315">
            <w:pPr>
              <w:widowControl/>
              <w:snapToGrid w:val="0"/>
              <w:jc w:val="center"/>
              <w:textAlignment w:val="center"/>
              <w:rPr>
                <w:rFonts w:ascii="宋体" w:hAnsi="宋体" w:cs="宋体"/>
                <w:color w:val="000000"/>
                <w:szCs w:val="21"/>
              </w:rPr>
            </w:pPr>
          </w:p>
        </w:tc>
      </w:tr>
      <w:tr w14:paraId="594CB8D7">
        <w:tblPrEx>
          <w:tblCellMar>
            <w:top w:w="0" w:type="dxa"/>
            <w:left w:w="108" w:type="dxa"/>
            <w:bottom w:w="0" w:type="dxa"/>
            <w:right w:w="108" w:type="dxa"/>
          </w:tblCellMar>
        </w:tblPrEx>
        <w:trPr>
          <w:trHeight w:val="0"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59277">
            <w:pPr>
              <w:widowControl/>
              <w:snapToGrid w:val="0"/>
              <w:spacing w:line="360" w:lineRule="auto"/>
              <w:jc w:val="center"/>
              <w:textAlignment w:val="center"/>
              <w:rPr>
                <w:rFonts w:ascii="宋体" w:hAnsi="宋体" w:cs="宋体"/>
                <w:color w:val="000000"/>
                <w:sz w:val="18"/>
                <w:szCs w:val="18"/>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EBF23">
            <w:pPr>
              <w:widowControl/>
              <w:snapToGrid w:val="0"/>
              <w:spacing w:line="360" w:lineRule="auto"/>
              <w:jc w:val="center"/>
              <w:textAlignment w:val="center"/>
              <w:rPr>
                <w:rFonts w:ascii="宋体" w:hAnsi="宋体" w:cs="宋体"/>
                <w:color w:val="000000"/>
                <w:sz w:val="18"/>
                <w:szCs w:val="18"/>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89E20">
            <w:pPr>
              <w:widowControl/>
              <w:snapToGrid w:val="0"/>
              <w:spacing w:line="360" w:lineRule="auto"/>
              <w:jc w:val="center"/>
              <w:textAlignment w:val="center"/>
              <w:rPr>
                <w:rFonts w:ascii="宋体" w:hAnsi="宋体" w:cs="宋体"/>
                <w:color w:val="000000"/>
                <w:szCs w:val="21"/>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BE8B">
            <w:pPr>
              <w:snapToGrid w:val="0"/>
              <w:rPr>
                <w:rFonts w:ascii="宋体" w:hAnsi="宋体" w:cs="宋体"/>
                <w:color w:val="000000"/>
                <w:sz w:val="20"/>
                <w:szCs w:val="20"/>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874AA">
            <w:pPr>
              <w:snapToGrid w:val="0"/>
              <w:jc w:val="center"/>
              <w:rPr>
                <w:rFonts w:ascii="宋体" w:hAnsi="宋体" w:cs="宋体"/>
                <w:color w:val="000000"/>
                <w:szCs w:val="21"/>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80546">
            <w:pPr>
              <w:widowControl/>
              <w:snapToGrid w:val="0"/>
              <w:jc w:val="center"/>
              <w:textAlignment w:val="center"/>
              <w:rPr>
                <w:rFonts w:ascii="宋体" w:hAnsi="宋体" w:cs="宋体"/>
                <w:color w:val="000000"/>
                <w:szCs w:val="21"/>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C0BD6">
            <w:pPr>
              <w:widowControl/>
              <w:snapToGrid w:val="0"/>
              <w:textAlignment w:val="center"/>
              <w:rPr>
                <w:rFonts w:ascii="宋体" w:hAnsi="宋体" w:cs="宋体"/>
                <w:color w:val="000000"/>
                <w:szCs w:val="21"/>
              </w:rPr>
            </w:pPr>
          </w:p>
        </w:tc>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0FE0D">
            <w:pPr>
              <w:snapToGrid w:val="0"/>
              <w:rPr>
                <w:rFonts w:ascii="宋体" w:hAnsi="宋体" w:cs="宋体"/>
                <w:color w:val="000000"/>
                <w:szCs w:val="21"/>
              </w:rPr>
            </w:pP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9F741">
            <w:pPr>
              <w:widowControl/>
              <w:snapToGrid w:val="0"/>
              <w:jc w:val="center"/>
              <w:textAlignment w:val="center"/>
              <w:rPr>
                <w:rFonts w:ascii="宋体" w:hAnsi="宋体" w:cs="宋体"/>
                <w:color w:val="000000"/>
                <w:szCs w:val="21"/>
              </w:rPr>
            </w:pPr>
          </w:p>
        </w:tc>
        <w:tc>
          <w:tcPr>
            <w:tcW w:w="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1675C">
            <w:pPr>
              <w:widowControl/>
              <w:snapToGrid w:val="0"/>
              <w:jc w:val="center"/>
              <w:textAlignment w:val="center"/>
              <w:rPr>
                <w:rFonts w:ascii="宋体" w:hAnsi="宋体" w:cs="宋体"/>
                <w:color w:val="000000"/>
                <w:szCs w:val="21"/>
              </w:rPr>
            </w:pPr>
          </w:p>
        </w:tc>
      </w:tr>
      <w:tr w14:paraId="67F41008">
        <w:tblPrEx>
          <w:tblCellMar>
            <w:top w:w="0" w:type="dxa"/>
            <w:left w:w="108" w:type="dxa"/>
            <w:bottom w:w="0" w:type="dxa"/>
            <w:right w:w="108" w:type="dxa"/>
          </w:tblCellMar>
        </w:tblPrEx>
        <w:trPr>
          <w:trHeight w:val="0" w:hRule="atLeast"/>
          <w:jc w:val="center"/>
        </w:trPr>
        <w:tc>
          <w:tcPr>
            <w:tcW w:w="2553" w:type="pct"/>
            <w:gridSpan w:val="6"/>
            <w:tcBorders>
              <w:top w:val="single" w:color="000000" w:sz="4" w:space="0"/>
              <w:left w:val="single" w:color="000000" w:sz="4" w:space="0"/>
              <w:bottom w:val="single" w:color="000000" w:sz="4" w:space="0"/>
              <w:right w:val="single" w:color="auto" w:sz="4" w:space="0"/>
            </w:tcBorders>
            <w:shd w:val="clear" w:color="auto" w:fill="auto"/>
            <w:vAlign w:val="center"/>
          </w:tcPr>
          <w:p w14:paraId="609A0E52">
            <w:pPr>
              <w:widowControl/>
              <w:snapToGrid w:val="0"/>
              <w:jc w:val="left"/>
              <w:textAlignment w:val="center"/>
              <w:rPr>
                <w:rFonts w:ascii="宋体" w:hAnsi="宋体" w:cs="宋体"/>
                <w:color w:val="000000"/>
                <w:szCs w:val="21"/>
              </w:rPr>
            </w:pPr>
            <w:r>
              <w:rPr>
                <w:rFonts w:hint="eastAsia" w:ascii="宋体" w:hAnsi="宋体" w:cs="宋体"/>
                <w:color w:val="000000"/>
                <w:szCs w:val="21"/>
              </w:rPr>
              <w:t xml:space="preserve">合计（大写金额）：                                                                          </w:t>
            </w:r>
          </w:p>
        </w:tc>
        <w:tc>
          <w:tcPr>
            <w:tcW w:w="2446" w:type="pct"/>
            <w:gridSpan w:val="4"/>
            <w:tcBorders>
              <w:top w:val="single" w:color="000000" w:sz="4" w:space="0"/>
              <w:left w:val="single" w:color="auto" w:sz="4" w:space="0"/>
              <w:bottom w:val="single" w:color="000000" w:sz="4" w:space="0"/>
              <w:right w:val="single" w:color="000000" w:sz="4" w:space="0"/>
            </w:tcBorders>
            <w:shd w:val="clear" w:color="auto" w:fill="auto"/>
            <w:vAlign w:val="center"/>
          </w:tcPr>
          <w:p w14:paraId="53F7E31B">
            <w:pPr>
              <w:widowControl/>
              <w:snapToGrid w:val="0"/>
              <w:jc w:val="left"/>
              <w:textAlignment w:val="center"/>
              <w:rPr>
                <w:rFonts w:ascii="宋体" w:hAnsi="宋体" w:cs="宋体"/>
                <w:color w:val="000000"/>
                <w:szCs w:val="21"/>
              </w:rPr>
            </w:pPr>
            <w:r>
              <w:rPr>
                <w:rFonts w:hint="eastAsia" w:ascii="宋体" w:hAnsi="宋体" w:cs="宋体"/>
                <w:color w:val="000000"/>
                <w:szCs w:val="21"/>
              </w:rPr>
              <w:t>合计（小写金额）：</w:t>
            </w:r>
          </w:p>
        </w:tc>
      </w:tr>
      <w:tr w14:paraId="37E56CDB">
        <w:tblPrEx>
          <w:tblCellMar>
            <w:top w:w="0" w:type="dxa"/>
            <w:left w:w="108" w:type="dxa"/>
            <w:bottom w:w="0" w:type="dxa"/>
            <w:right w:w="108" w:type="dxa"/>
          </w:tblCellMar>
        </w:tblPrEx>
        <w:trPr>
          <w:trHeight w:val="0" w:hRule="atLeast"/>
          <w:jc w:val="center"/>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5B9F2D">
            <w:pPr>
              <w:widowControl/>
              <w:snapToGrid w:val="0"/>
              <w:jc w:val="left"/>
              <w:textAlignment w:val="center"/>
              <w:rPr>
                <w:rFonts w:hint="eastAsia" w:ascii="宋体" w:hAnsi="宋体" w:cs="宋体"/>
                <w:color w:val="000000"/>
                <w:kern w:val="0"/>
                <w:szCs w:val="21"/>
                <w:highlight w:val="none"/>
                <w:lang w:val="en-US" w:eastAsia="zh-CN" w:bidi="ar"/>
              </w:rPr>
            </w:pPr>
            <w:r>
              <w:rPr>
                <w:rFonts w:hint="eastAsia" w:ascii="宋体" w:hAnsi="宋体" w:cs="宋体"/>
                <w:color w:val="000000"/>
                <w:kern w:val="0"/>
                <w:szCs w:val="21"/>
                <w:lang w:bidi="ar"/>
              </w:rPr>
              <w:t>注</w:t>
            </w:r>
            <w:r>
              <w:rPr>
                <w:rFonts w:hint="eastAsia" w:ascii="宋体" w:hAnsi="宋体" w:cs="宋体"/>
                <w:color w:val="000000"/>
                <w:kern w:val="0"/>
                <w:szCs w:val="21"/>
                <w:highlight w:val="none"/>
                <w:lang w:bidi="ar"/>
              </w:rPr>
              <w:t>：</w:t>
            </w:r>
            <w:r>
              <w:rPr>
                <w:rFonts w:hint="eastAsia" w:ascii="宋体" w:hAnsi="宋体" w:cs="宋体"/>
                <w:color w:val="000000"/>
                <w:kern w:val="0"/>
                <w:szCs w:val="21"/>
                <w:highlight w:val="none"/>
                <w:lang w:val="en-US" w:eastAsia="zh-CN" w:bidi="ar"/>
              </w:rPr>
              <w:t xml:space="preserve">1.不含税金额 **           </w:t>
            </w:r>
          </w:p>
          <w:p w14:paraId="57F8A0A1">
            <w:pPr>
              <w:widowControl/>
              <w:snapToGrid w:val="0"/>
              <w:jc w:val="left"/>
              <w:textAlignment w:val="center"/>
              <w:rPr>
                <w:rFonts w:hint="eastAsia" w:ascii="宋体" w:hAnsi="宋体" w:eastAsia="宋体" w:cs="宋体"/>
                <w:color w:val="000000"/>
                <w:kern w:val="0"/>
                <w:szCs w:val="21"/>
                <w:lang w:eastAsia="zh-CN" w:bidi="ar"/>
              </w:rPr>
            </w:pPr>
            <w:r>
              <w:rPr>
                <w:rFonts w:hint="eastAsia" w:ascii="宋体" w:hAnsi="宋体" w:cs="宋体"/>
                <w:color w:val="000000"/>
                <w:kern w:val="0"/>
                <w:szCs w:val="21"/>
                <w:highlight w:val="none"/>
                <w:lang w:val="en-US" w:eastAsia="zh-CN" w:bidi="ar"/>
              </w:rPr>
              <w:t>2.</w:t>
            </w:r>
            <w:r>
              <w:rPr>
                <w:rFonts w:hint="eastAsia" w:ascii="宋体" w:hAnsi="宋体" w:cs="宋体"/>
                <w:color w:val="000000"/>
                <w:kern w:val="0"/>
                <w:szCs w:val="21"/>
                <w:highlight w:val="none"/>
                <w:lang w:bidi="ar"/>
              </w:rPr>
              <w:t xml:space="preserve">价格含  </w:t>
            </w:r>
            <w:r>
              <w:rPr>
                <w:rFonts w:hint="eastAsia" w:ascii="宋体" w:hAnsi="宋体" w:cs="宋体"/>
                <w:color w:val="000000"/>
                <w:kern w:val="0"/>
                <w:szCs w:val="21"/>
                <w:highlight w:val="none"/>
                <w:u w:val="single"/>
                <w:lang w:bidi="ar"/>
              </w:rPr>
              <w:t xml:space="preserve">      </w:t>
            </w:r>
            <w:r>
              <w:rPr>
                <w:rFonts w:hint="eastAsia" w:ascii="宋体" w:hAnsi="宋体" w:cs="宋体"/>
                <w:color w:val="000000"/>
                <w:kern w:val="0"/>
                <w:szCs w:val="21"/>
                <w:highlight w:val="none"/>
                <w:lang w:bidi="ar"/>
              </w:rPr>
              <w:t>%增值税、含运费</w:t>
            </w:r>
            <w:r>
              <w:rPr>
                <w:rFonts w:hint="eastAsia" w:ascii="宋体" w:hAnsi="宋体" w:cs="宋体"/>
                <w:color w:val="000000"/>
                <w:kern w:val="0"/>
                <w:szCs w:val="21"/>
                <w:highlight w:val="none"/>
                <w:lang w:eastAsia="zh-CN" w:bidi="ar"/>
              </w:rPr>
              <w:t>、</w:t>
            </w:r>
            <w:r>
              <w:rPr>
                <w:rFonts w:hint="eastAsia" w:ascii="宋体" w:hAnsi="宋体" w:cs="宋体"/>
                <w:color w:val="000000"/>
                <w:kern w:val="0"/>
                <w:szCs w:val="21"/>
                <w:highlight w:val="none"/>
                <w:lang w:val="en-US" w:eastAsia="zh-CN" w:bidi="ar"/>
              </w:rPr>
              <w:t>安装费</w:t>
            </w:r>
            <w:r>
              <w:rPr>
                <w:rFonts w:hint="eastAsia" w:ascii="宋体" w:hAnsi="宋体" w:cs="宋体"/>
                <w:color w:val="000000"/>
                <w:kern w:val="0"/>
                <w:szCs w:val="21"/>
                <w:highlight w:val="none"/>
                <w:lang w:eastAsia="zh-CN" w:bidi="ar"/>
              </w:rPr>
              <w:t>；</w:t>
            </w:r>
            <w:r>
              <w:rPr>
                <w:rFonts w:hint="eastAsia" w:ascii="宋体" w:hAnsi="宋体" w:cs="宋体"/>
                <w:color w:val="auto"/>
                <w:kern w:val="0"/>
                <w:szCs w:val="21"/>
                <w:highlight w:val="none"/>
                <w:lang w:eastAsia="zh-CN" w:bidi="ar"/>
              </w:rPr>
              <w:t>数量为</w:t>
            </w:r>
            <w:r>
              <w:rPr>
                <w:rFonts w:hint="eastAsia"/>
                <w:color w:val="auto"/>
                <w:highlight w:val="none"/>
                <w:lang w:eastAsia="zh-CN"/>
              </w:rPr>
              <w:t>暂定量，最终按现场实际验收合格数量结算。</w:t>
            </w:r>
          </w:p>
        </w:tc>
      </w:tr>
    </w:tbl>
    <w:p w14:paraId="3C75834D">
      <w:pPr>
        <w:snapToGrid w:val="0"/>
        <w:spacing w:line="560" w:lineRule="exact"/>
        <w:ind w:firstLine="482" w:firstLineChars="200"/>
        <w:rPr>
          <w:rFonts w:hint="eastAsia" w:ascii="宋体" w:hAnsi="宋体" w:eastAsia="宋体" w:cs="宋体"/>
          <w:color w:val="000000" w:themeColor="text1"/>
          <w:kern w:val="0"/>
          <w:sz w:val="24"/>
          <w:lang w:eastAsia="zh-CN"/>
          <w14:textFill>
            <w14:solidFill>
              <w14:schemeClr w14:val="tx1"/>
            </w14:solidFill>
          </w14:textFill>
        </w:rPr>
      </w:pPr>
      <w:r>
        <w:rPr>
          <w:rFonts w:hint="eastAsia" w:ascii="宋体" w:hAnsi="宋体" w:cs="宋体"/>
          <w:b/>
          <w:color w:val="000000"/>
          <w:kern w:val="0"/>
          <w:sz w:val="24"/>
        </w:rPr>
        <w:t>第二条</w:t>
      </w:r>
      <w:r>
        <w:rPr>
          <w:rFonts w:hint="eastAsia" w:ascii="宋体" w:hAnsi="宋体" w:cs="宋体"/>
          <w:color w:val="000000"/>
          <w:kern w:val="0"/>
          <w:sz w:val="24"/>
        </w:rPr>
        <w:t xml:space="preserve"> </w:t>
      </w:r>
      <w:r>
        <w:rPr>
          <w:rFonts w:hint="eastAsia" w:ascii="宋体" w:hAnsi="宋体" w:cs="宋体"/>
          <w:color w:val="000000" w:themeColor="text1"/>
          <w:kern w:val="0"/>
          <w:sz w:val="24"/>
          <w14:textFill>
            <w14:solidFill>
              <w14:schemeClr w14:val="tx1"/>
            </w14:solidFill>
          </w14:textFill>
        </w:rPr>
        <w:t>质量标准</w:t>
      </w:r>
      <w:r>
        <w:rPr>
          <w:rFonts w:hint="eastAsia" w:ascii="宋体" w:hAnsi="宋体" w:cs="宋体"/>
          <w:color w:val="000000"/>
          <w:kern w:val="0"/>
          <w:sz w:val="24"/>
        </w:rPr>
        <w:t>和售后服务：出卖人所提供的的产品必须满足买受人要求，产品符合国家现行标准、行业规范、图纸设计及买受人要求，提供完整售后服务。</w:t>
      </w:r>
    </w:p>
    <w:p w14:paraId="6B5414EB">
      <w:pPr>
        <w:snapToGrid w:val="0"/>
        <w:spacing w:line="560" w:lineRule="exact"/>
        <w:ind w:firstLine="482" w:firstLineChars="200"/>
        <w:rPr>
          <w:rFonts w:ascii="宋体" w:hAnsi="宋体" w:cs="宋体"/>
          <w:color w:val="000000"/>
          <w:kern w:val="0"/>
          <w:sz w:val="24"/>
        </w:rPr>
      </w:pPr>
      <w:r>
        <w:rPr>
          <w:rFonts w:hint="eastAsia" w:ascii="宋体" w:hAnsi="宋体" w:cs="宋体"/>
          <w:b/>
          <w:color w:val="000000"/>
          <w:kern w:val="0"/>
          <w:sz w:val="24"/>
        </w:rPr>
        <w:t>第三条</w:t>
      </w:r>
      <w:r>
        <w:rPr>
          <w:rFonts w:hint="eastAsia" w:ascii="宋体" w:hAnsi="宋体" w:cs="宋体"/>
          <w:color w:val="000000"/>
          <w:kern w:val="0"/>
          <w:sz w:val="24"/>
        </w:rPr>
        <w:t xml:space="preserve"> 包装标准、包装物的供应与回收：</w:t>
      </w:r>
      <w:r>
        <w:rPr>
          <w:rFonts w:hint="eastAsia" w:ascii="宋体" w:hAnsi="宋体" w:cs="宋体"/>
          <w:color w:val="000000"/>
          <w:kern w:val="0"/>
          <w:sz w:val="24"/>
          <w:u w:val="single"/>
        </w:rPr>
        <w:t xml:space="preserve">   满足长途运输、防潮、防磕碰标准；包装物由出卖人提供，不回收  </w:t>
      </w:r>
      <w:r>
        <w:rPr>
          <w:rFonts w:hint="eastAsia" w:ascii="宋体" w:hAnsi="宋体" w:cs="宋体"/>
          <w:color w:val="000000"/>
          <w:kern w:val="0"/>
          <w:sz w:val="24"/>
        </w:rPr>
        <w:t>。</w:t>
      </w:r>
    </w:p>
    <w:p w14:paraId="6B551BF9">
      <w:pPr>
        <w:snapToGrid w:val="0"/>
        <w:spacing w:line="560" w:lineRule="exact"/>
        <w:ind w:firstLine="482" w:firstLineChars="200"/>
        <w:rPr>
          <w:rFonts w:ascii="宋体" w:hAnsi="宋体" w:cs="宋体"/>
          <w:color w:val="000000"/>
          <w:kern w:val="0"/>
          <w:sz w:val="24"/>
        </w:rPr>
      </w:pPr>
      <w:r>
        <w:rPr>
          <w:rFonts w:hint="eastAsia" w:ascii="宋体" w:hAnsi="宋体" w:cs="宋体"/>
          <w:b/>
          <w:color w:val="000000"/>
          <w:kern w:val="0"/>
          <w:sz w:val="24"/>
        </w:rPr>
        <w:t xml:space="preserve">第四条 </w:t>
      </w:r>
      <w:r>
        <w:rPr>
          <w:rFonts w:hint="eastAsia" w:ascii="宋体" w:hAnsi="宋体" w:cs="宋体"/>
          <w:color w:val="000000"/>
          <w:kern w:val="0"/>
          <w:sz w:val="24"/>
        </w:rPr>
        <w:t>出卖人应提供的资料：出卖人供货同时需提供买受人报验及工程竣工所需的相关资料（如合格证、检验报告等）：</w:t>
      </w:r>
      <w:r>
        <w:rPr>
          <w:rFonts w:hint="eastAsia" w:ascii="宋体" w:hAnsi="宋体" w:cs="宋体"/>
          <w:color w:val="000000"/>
          <w:kern w:val="0"/>
          <w:sz w:val="24"/>
          <w:u w:val="single"/>
        </w:rPr>
        <w:t xml:space="preserve">  产品合格证、出厂检验报告</w:t>
      </w:r>
      <w:r>
        <w:rPr>
          <w:rFonts w:hint="eastAsia" w:ascii="宋体" w:hAnsi="宋体" w:cs="宋体"/>
          <w:color w:val="000000"/>
          <w:kern w:val="0"/>
          <w:sz w:val="24"/>
          <w:u w:val="single"/>
          <w:lang w:eastAsia="zh-CN"/>
        </w:rPr>
        <w:t>等工程所需资料</w:t>
      </w:r>
      <w:r>
        <w:rPr>
          <w:rFonts w:hint="eastAsia" w:ascii="宋体" w:hAnsi="宋体" w:cs="宋体"/>
          <w:color w:val="000000"/>
          <w:kern w:val="0"/>
          <w:sz w:val="24"/>
          <w:u w:val="single"/>
        </w:rPr>
        <w:t xml:space="preserve"> </w:t>
      </w:r>
      <w:r>
        <w:rPr>
          <w:rFonts w:hint="eastAsia" w:ascii="宋体" w:hAnsi="宋体" w:cs="宋体"/>
          <w:color w:val="000000"/>
          <w:kern w:val="0"/>
          <w:sz w:val="24"/>
        </w:rPr>
        <w:t>。</w:t>
      </w:r>
    </w:p>
    <w:p w14:paraId="50E730D6">
      <w:pPr>
        <w:snapToGrid w:val="0"/>
        <w:spacing w:line="560" w:lineRule="exact"/>
        <w:ind w:firstLine="482" w:firstLineChars="200"/>
        <w:rPr>
          <w:rFonts w:ascii="宋体" w:hAnsi="宋体" w:cs="宋体"/>
          <w:color w:val="000000"/>
          <w:kern w:val="0"/>
          <w:sz w:val="24"/>
        </w:rPr>
      </w:pPr>
      <w:r>
        <w:rPr>
          <w:rFonts w:hint="eastAsia" w:ascii="宋体" w:hAnsi="宋体" w:cs="宋体"/>
          <w:b/>
          <w:color w:val="000000"/>
          <w:kern w:val="0"/>
          <w:sz w:val="24"/>
        </w:rPr>
        <w:t>第五条</w:t>
      </w:r>
      <w:r>
        <w:rPr>
          <w:rFonts w:hint="eastAsia" w:ascii="宋体" w:hAnsi="宋体" w:cs="宋体"/>
          <w:color w:val="000000"/>
          <w:kern w:val="0"/>
          <w:sz w:val="24"/>
        </w:rPr>
        <w:t xml:space="preserve"> 随机的必备品、配件、工具的种类、数量及供应方法：</w:t>
      </w:r>
      <w:r>
        <w:rPr>
          <w:rFonts w:hint="eastAsia" w:ascii="宋体" w:hAnsi="宋体" w:cs="宋体"/>
          <w:color w:val="000000"/>
          <w:kern w:val="0"/>
          <w:sz w:val="24"/>
          <w:u w:val="single"/>
        </w:rPr>
        <w:t xml:space="preserve">  产品安装说明书、配套配件、专用工具（如有），随货同行 </w:t>
      </w:r>
      <w:r>
        <w:rPr>
          <w:rFonts w:hint="eastAsia" w:ascii="宋体" w:hAnsi="宋体" w:cs="宋体"/>
          <w:color w:val="000000"/>
          <w:kern w:val="0"/>
          <w:sz w:val="24"/>
        </w:rPr>
        <w:t>。</w:t>
      </w:r>
    </w:p>
    <w:p w14:paraId="3766EC27">
      <w:pPr>
        <w:snapToGrid w:val="0"/>
        <w:spacing w:line="560" w:lineRule="exact"/>
        <w:ind w:firstLine="482" w:firstLineChars="200"/>
        <w:jc w:val="left"/>
        <w:rPr>
          <w:rFonts w:hint="eastAsia" w:ascii="宋体" w:hAnsi="宋体" w:cs="宋体"/>
          <w:color w:val="000000"/>
          <w:kern w:val="0"/>
          <w:sz w:val="24"/>
          <w:u w:val="single"/>
        </w:rPr>
      </w:pPr>
      <w:r>
        <w:rPr>
          <w:rFonts w:hint="eastAsia" w:ascii="宋体" w:hAnsi="宋体" w:cs="宋体"/>
          <w:b/>
          <w:color w:val="000000"/>
          <w:kern w:val="0"/>
          <w:sz w:val="24"/>
        </w:rPr>
        <w:t>第六条</w:t>
      </w:r>
      <w:r>
        <w:rPr>
          <w:rFonts w:hint="eastAsia" w:ascii="宋体" w:hAnsi="宋体" w:cs="宋体"/>
          <w:color w:val="000000"/>
          <w:kern w:val="0"/>
          <w:sz w:val="24"/>
        </w:rPr>
        <w:t xml:space="preserve"> 合理损耗标准及计算方法：</w:t>
      </w:r>
      <w:r>
        <w:rPr>
          <w:rFonts w:hint="eastAsia" w:ascii="宋体" w:hAnsi="宋体" w:cs="宋体"/>
          <w:color w:val="auto"/>
          <w:kern w:val="0"/>
          <w:sz w:val="24"/>
          <w:u w:val="single"/>
        </w:rPr>
        <w:t xml:space="preserve"> </w:t>
      </w:r>
      <w:r>
        <w:rPr>
          <w:rFonts w:hint="eastAsia" w:ascii="宋体" w:hAnsi="宋体" w:cs="宋体"/>
          <w:color w:val="auto"/>
          <w:kern w:val="0"/>
          <w:sz w:val="24"/>
          <w:u w:val="single"/>
          <w:lang w:val="en-US" w:eastAsia="zh-CN"/>
        </w:rPr>
        <w:t>无损耗</w:t>
      </w:r>
      <w:r>
        <w:rPr>
          <w:rFonts w:hint="eastAsia" w:ascii="宋体" w:hAnsi="宋体" w:cs="宋体"/>
          <w:color w:val="auto"/>
          <w:kern w:val="0"/>
          <w:sz w:val="24"/>
          <w:u w:val="single"/>
        </w:rPr>
        <w:t xml:space="preserve"> 。</w:t>
      </w:r>
    </w:p>
    <w:p w14:paraId="4E2D8987">
      <w:pPr>
        <w:snapToGrid w:val="0"/>
        <w:spacing w:line="560" w:lineRule="exact"/>
        <w:ind w:firstLine="482" w:firstLineChars="200"/>
        <w:rPr>
          <w:rFonts w:ascii="宋体" w:hAnsi="宋体" w:cs="宋体"/>
          <w:kern w:val="0"/>
          <w:sz w:val="24"/>
          <w:u w:val="single"/>
        </w:rPr>
      </w:pPr>
      <w:r>
        <w:rPr>
          <w:rFonts w:hint="eastAsia" w:ascii="宋体" w:hAnsi="宋体" w:cs="宋体"/>
          <w:b/>
          <w:color w:val="000000"/>
          <w:kern w:val="0"/>
          <w:sz w:val="24"/>
        </w:rPr>
        <w:t>第七条</w:t>
      </w:r>
      <w:r>
        <w:rPr>
          <w:rFonts w:hint="eastAsia" w:ascii="宋体" w:hAnsi="宋体" w:cs="宋体"/>
          <w:color w:val="000000"/>
          <w:kern w:val="0"/>
          <w:sz w:val="24"/>
        </w:rPr>
        <w:t xml:space="preserve"> </w:t>
      </w:r>
      <w:r>
        <w:rPr>
          <w:rFonts w:hint="eastAsia" w:ascii="宋体" w:hAnsi="宋体" w:cs="宋体"/>
          <w:kern w:val="0"/>
          <w:sz w:val="24"/>
        </w:rPr>
        <w:t>标的物所有权:自交付(双方共同确认验收合格) 时起转移，但买受人未履行支付价款义务的，标的物属于出卖方所有。</w:t>
      </w:r>
    </w:p>
    <w:p w14:paraId="1607B970">
      <w:pPr>
        <w:snapToGrid w:val="0"/>
        <w:spacing w:line="560" w:lineRule="exact"/>
        <w:ind w:firstLine="482" w:firstLineChars="200"/>
        <w:rPr>
          <w:rFonts w:hint="eastAsia" w:ascii="宋体" w:hAnsi="宋体" w:cs="宋体"/>
          <w:color w:val="FF0000"/>
          <w:kern w:val="0"/>
          <w:sz w:val="24"/>
          <w:highlight w:val="yellow"/>
          <w:u w:val="single"/>
          <w:lang w:val="en-US" w:eastAsia="zh-CN"/>
        </w:rPr>
      </w:pPr>
      <w:r>
        <w:rPr>
          <w:rFonts w:hint="eastAsia" w:ascii="宋体" w:hAnsi="宋体" w:cs="宋体"/>
          <w:b/>
          <w:color w:val="000000"/>
          <w:kern w:val="0"/>
          <w:sz w:val="24"/>
        </w:rPr>
        <w:t>第八条</w:t>
      </w:r>
      <w:r>
        <w:rPr>
          <w:rFonts w:hint="eastAsia" w:ascii="宋体" w:hAnsi="宋体" w:cs="宋体"/>
          <w:kern w:val="0"/>
          <w:sz w:val="24"/>
        </w:rPr>
        <w:t xml:space="preserve"> </w:t>
      </w:r>
      <w:r>
        <w:rPr>
          <w:rFonts w:hint="eastAsia" w:ascii="宋体" w:hAnsi="宋体" w:cs="宋体"/>
          <w:kern w:val="0"/>
          <w:sz w:val="24"/>
          <w:lang w:eastAsia="zh-CN"/>
        </w:rPr>
        <w:t>供</w:t>
      </w:r>
      <w:r>
        <w:rPr>
          <w:rFonts w:hint="eastAsia" w:ascii="宋体" w:hAnsi="宋体" w:cs="宋体"/>
          <w:kern w:val="0"/>
          <w:sz w:val="24"/>
        </w:rPr>
        <w:t>货</w:t>
      </w:r>
      <w:r>
        <w:rPr>
          <w:rFonts w:hint="eastAsia" w:ascii="宋体" w:hAnsi="宋体" w:cs="宋体"/>
          <w:color w:val="000000"/>
          <w:kern w:val="0"/>
          <w:sz w:val="24"/>
        </w:rPr>
        <w:t>时间、方式、地点：</w:t>
      </w:r>
      <w:r>
        <w:rPr>
          <w:rFonts w:hint="eastAsia" w:ascii="宋体" w:hAnsi="宋体" w:cs="宋体"/>
          <w:kern w:val="0"/>
          <w:sz w:val="24"/>
          <w:u w:val="single"/>
        </w:rPr>
        <w:t>按买受人要求</w:t>
      </w:r>
      <w:r>
        <w:rPr>
          <w:rFonts w:hint="eastAsia" w:ascii="宋体" w:hAnsi="宋体" w:cs="宋体"/>
          <w:kern w:val="0"/>
          <w:sz w:val="24"/>
          <w:u w:val="single"/>
          <w:lang w:val="en-US" w:eastAsia="zh-CN"/>
        </w:rPr>
        <w:t>时间及数量</w:t>
      </w:r>
      <w:r>
        <w:rPr>
          <w:rFonts w:hint="eastAsia" w:ascii="宋体" w:hAnsi="宋体" w:cs="宋体"/>
          <w:kern w:val="0"/>
          <w:sz w:val="24"/>
          <w:u w:val="single"/>
        </w:rPr>
        <w:t>供货</w:t>
      </w:r>
      <w:r>
        <w:rPr>
          <w:rFonts w:hint="eastAsia" w:ascii="宋体" w:hAnsi="宋体" w:cs="宋体"/>
          <w:kern w:val="0"/>
          <w:sz w:val="24"/>
          <w:u w:val="single"/>
          <w:lang w:val="en-US" w:eastAsia="zh-CN"/>
        </w:rPr>
        <w:t>至淮北市高新区龙湖工业园龙旺路32号项目施工现场。</w:t>
      </w:r>
    </w:p>
    <w:p w14:paraId="216E10A6">
      <w:pPr>
        <w:snapToGrid w:val="0"/>
        <w:spacing w:line="560" w:lineRule="exact"/>
        <w:ind w:firstLine="482" w:firstLineChars="200"/>
        <w:rPr>
          <w:rFonts w:ascii="宋体" w:hAnsi="宋体" w:cs="宋体"/>
          <w:color w:val="000000"/>
          <w:kern w:val="0"/>
          <w:sz w:val="24"/>
        </w:rPr>
      </w:pPr>
      <w:r>
        <w:rPr>
          <w:rFonts w:hint="eastAsia" w:ascii="宋体" w:hAnsi="宋体" w:cs="宋体"/>
          <w:b/>
          <w:color w:val="000000"/>
          <w:kern w:val="0"/>
          <w:sz w:val="24"/>
        </w:rPr>
        <w:t xml:space="preserve">第九条 </w:t>
      </w:r>
      <w:r>
        <w:rPr>
          <w:rFonts w:hint="eastAsia" w:ascii="宋体" w:hAnsi="宋体" w:cs="宋体"/>
          <w:color w:val="000000"/>
          <w:kern w:val="0"/>
          <w:sz w:val="24"/>
        </w:rPr>
        <w:t>运输方式及到达站（港）和费用负担：</w:t>
      </w:r>
      <w:r>
        <w:rPr>
          <w:rFonts w:hint="eastAsia" w:ascii="宋体" w:hAnsi="宋体" w:cs="宋体"/>
          <w:color w:val="000000" w:themeColor="text1"/>
          <w:kern w:val="0"/>
          <w:sz w:val="24"/>
          <w14:textFill>
            <w14:solidFill>
              <w14:schemeClr w14:val="tx1"/>
            </w14:solidFill>
          </w14:textFill>
        </w:rPr>
        <w:t>出卖人负责运输到达买受人指定的地点并承担费用，</w:t>
      </w:r>
      <w:r>
        <w:rPr>
          <w:rFonts w:hint="eastAsia" w:ascii="宋体" w:hAnsi="宋体" w:cs="宋体"/>
          <w:color w:val="000000"/>
          <w:kern w:val="0"/>
          <w:sz w:val="24"/>
        </w:rPr>
        <w:t>货物到场后卸车费用由</w:t>
      </w:r>
      <w:r>
        <w:rPr>
          <w:rFonts w:hint="eastAsia" w:ascii="宋体" w:hAnsi="宋体" w:cs="宋体"/>
          <w:color w:val="000000"/>
          <w:kern w:val="0"/>
          <w:sz w:val="24"/>
          <w:u w:val="single"/>
        </w:rPr>
        <w:t xml:space="preserve">   出卖人  </w:t>
      </w:r>
      <w:r>
        <w:rPr>
          <w:rFonts w:hint="eastAsia" w:ascii="宋体" w:hAnsi="宋体" w:cs="宋体"/>
          <w:color w:val="000000"/>
          <w:kern w:val="0"/>
          <w:sz w:val="24"/>
        </w:rPr>
        <w:t>承担。</w:t>
      </w:r>
    </w:p>
    <w:p w14:paraId="28B30C2D">
      <w:pPr>
        <w:snapToGrid w:val="0"/>
        <w:spacing w:line="560" w:lineRule="exact"/>
        <w:ind w:firstLine="482" w:firstLineChars="200"/>
        <w:rPr>
          <w:rFonts w:hint="eastAsia" w:ascii="宋体" w:hAnsi="宋体" w:cs="宋体"/>
          <w:b w:val="0"/>
          <w:bCs/>
          <w:color w:val="000000"/>
          <w:kern w:val="0"/>
          <w:sz w:val="24"/>
          <w:lang w:val="ru-RU" w:eastAsia="zh-CN"/>
        </w:rPr>
      </w:pPr>
      <w:r>
        <w:rPr>
          <w:rFonts w:hint="eastAsia" w:ascii="宋体" w:hAnsi="宋体" w:cs="宋体"/>
          <w:b/>
          <w:color w:val="000000"/>
          <w:kern w:val="0"/>
          <w:sz w:val="24"/>
        </w:rPr>
        <w:t xml:space="preserve">第十条 </w:t>
      </w:r>
      <w:r>
        <w:rPr>
          <w:rFonts w:hint="eastAsia" w:ascii="宋体" w:hAnsi="宋体" w:cs="宋体"/>
          <w:b w:val="0"/>
          <w:bCs/>
          <w:color w:val="000000"/>
          <w:kern w:val="0"/>
          <w:sz w:val="24"/>
          <w:lang w:val="ru-RU" w:eastAsia="zh-CN"/>
        </w:rPr>
        <w:t>检验标准、方法、地点及期限：</w:t>
      </w:r>
      <w:r>
        <w:rPr>
          <w:rFonts w:hint="eastAsia" w:ascii="宋体" w:hAnsi="宋体" w:cs="宋体"/>
          <w:b w:val="0"/>
          <w:bCs/>
          <w:color w:val="000000"/>
          <w:kern w:val="0"/>
          <w:sz w:val="24"/>
          <w:u w:val="single"/>
          <w:lang w:val="en-US" w:eastAsia="zh-CN"/>
        </w:rPr>
        <w:t>货到现场，采购人、监理和成交人共同清点箱件验收。如不具备开箱验收的条件，成交人应妥善保管（需防潮、防盗），现场存放场地由成交人自行与总包单位协商解决。未经采购人同意，中标人不得擅自拆箱。采购人在接到成交人开箱安装通知后，派员7天内会同成交人进行货物清点验收，若发现货物与装箱单数目不符，成交人须在接到采购人在规定时间内将货物补齐，工期计入供货周期。如在保管期间箱件已损坏，缺件由成交人负责，如对产品的外表质量有异议，应在验收时提出。在交货日期以后发现货物与装箱清单数目、规格不一致的，也不能排除成交人对此的保证责任。到场验收合格后，并不排除成交人对相应设备的责任。</w:t>
      </w:r>
    </w:p>
    <w:p w14:paraId="75AF43E4">
      <w:pPr>
        <w:snapToGrid w:val="0"/>
        <w:spacing w:before="0" w:after="120" w:line="360" w:lineRule="auto"/>
        <w:ind w:firstLine="482" w:firstLineChars="200"/>
        <w:jc w:val="both"/>
        <w:rPr>
          <w:rFonts w:ascii="宋体" w:hAnsi="宋体" w:cs="宋体"/>
          <w:color w:val="000000"/>
          <w:kern w:val="0"/>
          <w:sz w:val="24"/>
          <w:u w:val="single"/>
        </w:rPr>
      </w:pPr>
      <w:r>
        <w:rPr>
          <w:rFonts w:hint="eastAsia" w:ascii="宋体" w:hAnsi="宋体" w:cs="宋体"/>
          <w:b/>
          <w:color w:val="000000"/>
          <w:kern w:val="0"/>
          <w:sz w:val="24"/>
        </w:rPr>
        <w:t>第十一条</w:t>
      </w:r>
      <w:r>
        <w:rPr>
          <w:rFonts w:hint="eastAsia" w:ascii="宋体" w:hAnsi="宋体" w:cs="宋体"/>
          <w:color w:val="000000"/>
          <w:kern w:val="0"/>
          <w:sz w:val="24"/>
        </w:rPr>
        <w:t xml:space="preserve"> 结算依据、方式、时间：</w:t>
      </w:r>
      <w:r>
        <w:rPr>
          <w:rFonts w:hint="eastAsia" w:ascii="宋体" w:hAnsi="宋体" w:cs="宋体"/>
          <w:color w:val="000000"/>
          <w:kern w:val="0"/>
          <w:sz w:val="24"/>
          <w:u w:val="single"/>
        </w:rPr>
        <w:t>货到验收合格付款至60%，试运转合格后付至80%，封账协议签订并开票入账6个月后支付至97%，剩余3%作为质量保证金，质保期满后付清</w:t>
      </w:r>
      <w:r>
        <w:rPr>
          <w:rFonts w:hint="eastAsia" w:ascii="宋体" w:hAnsi="宋体" w:cs="宋体"/>
          <w:color w:val="000000"/>
          <w:kern w:val="0"/>
          <w:sz w:val="24"/>
          <w:szCs w:val="22"/>
          <w:u w:val="single"/>
          <w:lang w:val="en-US" w:eastAsia="zh-CN" w:bidi="ar-SA"/>
        </w:rPr>
        <w:t>。</w:t>
      </w:r>
    </w:p>
    <w:p w14:paraId="31FC8718">
      <w:pPr>
        <w:keepNext w:val="0"/>
        <w:keepLines w:val="0"/>
        <w:pageBreakBefore w:val="0"/>
        <w:widowControl w:val="0"/>
        <w:kinsoku/>
        <w:wordWrap/>
        <w:overflowPunct/>
        <w:topLinePunct w:val="0"/>
        <w:autoSpaceDE/>
        <w:autoSpaceDN/>
        <w:bidi w:val="0"/>
        <w:adjustRightInd/>
        <w:snapToGrid/>
        <w:spacing w:line="500" w:lineRule="atLeast"/>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color w:val="000000"/>
          <w:kern w:val="0"/>
          <w:sz w:val="24"/>
        </w:rPr>
        <w:t xml:space="preserve">第十二条 </w:t>
      </w:r>
      <w:r>
        <w:rPr>
          <w:rFonts w:hint="eastAsia" w:ascii="宋体" w:hAnsi="宋体" w:cs="宋体"/>
          <w:color w:val="000000"/>
          <w:kern w:val="0"/>
          <w:sz w:val="24"/>
        </w:rPr>
        <w:t>本合同解除的条件：按《民法典》执行。如出卖人违约导致不能实现合同目的，买受人有单方解除权</w:t>
      </w:r>
      <w:r>
        <w:rPr>
          <w:rFonts w:hint="eastAsia" w:ascii="宋体" w:hAnsi="宋体" w:cs="宋体"/>
          <w:color w:val="000000"/>
          <w:kern w:val="0"/>
          <w:sz w:val="24"/>
          <w:lang w:eastAsia="zh-CN"/>
        </w:rPr>
        <w:t>；</w:t>
      </w:r>
      <w:r>
        <w:rPr>
          <w:rFonts w:hint="eastAsia" w:ascii="宋体" w:hAnsi="宋体" w:cs="宋体"/>
          <w:color w:val="auto"/>
          <w:kern w:val="0"/>
          <w:sz w:val="24"/>
          <w:highlight w:val="none"/>
          <w:lang w:eastAsia="zh-CN"/>
        </w:rPr>
        <w:t>供货方</w:t>
      </w:r>
      <w:r>
        <w:rPr>
          <w:rFonts w:hint="eastAsia" w:ascii="宋体" w:hAnsi="宋体" w:eastAsia="宋体" w:cs="宋体"/>
          <w:b w:val="0"/>
          <w:bCs w:val="0"/>
          <w:color w:val="auto"/>
          <w:sz w:val="24"/>
          <w:szCs w:val="24"/>
          <w:highlight w:val="none"/>
          <w:lang w:val="en-US" w:eastAsia="zh-CN"/>
        </w:rPr>
        <w:t>延迟履行主要义务，经合理</w:t>
      </w:r>
      <w:r>
        <w:rPr>
          <w:rFonts w:hint="eastAsia" w:ascii="宋体" w:hAnsi="宋体" w:eastAsia="宋体" w:cs="宋体"/>
          <w:b w:val="0"/>
          <w:bCs w:val="0"/>
          <w:color w:val="auto"/>
          <w:sz w:val="24"/>
          <w:szCs w:val="24"/>
          <w:highlight w:val="none"/>
          <w:u w:val="none"/>
          <w:lang w:val="en-US" w:eastAsia="zh-CN"/>
        </w:rPr>
        <w:t>催告</w:t>
      </w:r>
      <w:r>
        <w:rPr>
          <w:rFonts w:hint="eastAsia" w:ascii="宋体" w:hAnsi="宋体" w:cs="宋体"/>
          <w:b w:val="0"/>
          <w:bCs w:val="0"/>
          <w:color w:val="auto"/>
          <w:sz w:val="24"/>
          <w:szCs w:val="24"/>
          <w:highlight w:val="none"/>
          <w:u w:val="single"/>
          <w:lang w:val="en-US" w:eastAsia="zh-CN"/>
        </w:rPr>
        <w:t xml:space="preserve"> 7 </w:t>
      </w:r>
      <w:r>
        <w:rPr>
          <w:rFonts w:hint="eastAsia" w:ascii="宋体" w:hAnsi="宋体" w:eastAsia="宋体" w:cs="宋体"/>
          <w:b w:val="0"/>
          <w:bCs w:val="0"/>
          <w:color w:val="auto"/>
          <w:sz w:val="24"/>
          <w:szCs w:val="24"/>
          <w:highlight w:val="none"/>
          <w:u w:val="none"/>
          <w:lang w:val="en-US" w:eastAsia="zh-CN"/>
        </w:rPr>
        <w:t>天</w:t>
      </w:r>
      <w:r>
        <w:rPr>
          <w:rFonts w:hint="eastAsia" w:ascii="宋体" w:hAnsi="宋体" w:eastAsia="宋体" w:cs="宋体"/>
          <w:b w:val="0"/>
          <w:bCs w:val="0"/>
          <w:color w:val="auto"/>
          <w:sz w:val="24"/>
          <w:szCs w:val="24"/>
          <w:highlight w:val="none"/>
          <w:lang w:val="en-US" w:eastAsia="zh-CN"/>
        </w:rPr>
        <w:t>后仍不履行，</w:t>
      </w:r>
      <w:r>
        <w:rPr>
          <w:rFonts w:hint="eastAsia" w:ascii="宋体" w:hAnsi="宋体" w:cs="宋体"/>
          <w:b w:val="0"/>
          <w:bCs w:val="0"/>
          <w:color w:val="auto"/>
          <w:sz w:val="24"/>
          <w:szCs w:val="24"/>
          <w:highlight w:val="none"/>
          <w:lang w:val="en-US" w:eastAsia="zh-CN"/>
        </w:rPr>
        <w:t>买受方</w:t>
      </w:r>
      <w:r>
        <w:rPr>
          <w:rFonts w:hint="eastAsia" w:ascii="宋体" w:hAnsi="宋体" w:eastAsia="宋体" w:cs="宋体"/>
          <w:b w:val="0"/>
          <w:bCs w:val="0"/>
          <w:color w:val="auto"/>
          <w:sz w:val="24"/>
          <w:szCs w:val="24"/>
          <w:highlight w:val="none"/>
          <w:lang w:val="en-US" w:eastAsia="zh-CN"/>
        </w:rPr>
        <w:t>可以解除合同，</w:t>
      </w:r>
      <w:r>
        <w:rPr>
          <w:rFonts w:hint="eastAsia" w:ascii="宋体" w:hAnsi="宋体" w:cs="宋体"/>
          <w:b w:val="0"/>
          <w:bCs w:val="0"/>
          <w:color w:val="auto"/>
          <w:sz w:val="24"/>
          <w:szCs w:val="24"/>
          <w:highlight w:val="none"/>
          <w:lang w:val="en-US" w:eastAsia="zh-CN"/>
        </w:rPr>
        <w:t>同时供货方赔偿买受方</w:t>
      </w:r>
      <w:r>
        <w:rPr>
          <w:rFonts w:hint="eastAsia" w:ascii="宋体" w:hAnsi="宋体" w:eastAsia="宋体" w:cs="宋体"/>
          <w:b w:val="0"/>
          <w:bCs w:val="0"/>
          <w:color w:val="auto"/>
          <w:sz w:val="24"/>
          <w:szCs w:val="24"/>
          <w:highlight w:val="none"/>
          <w:lang w:val="en-US" w:eastAsia="zh-CN"/>
        </w:rPr>
        <w:t>造成</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损失。</w:t>
      </w:r>
    </w:p>
    <w:p w14:paraId="6C7CF082">
      <w:pPr>
        <w:rPr>
          <w:rFonts w:hint="eastAsia" w:ascii="宋体" w:hAnsi="宋体" w:cs="宋体"/>
          <w:color w:val="000000"/>
          <w:kern w:val="0"/>
          <w:sz w:val="24"/>
        </w:rPr>
      </w:pPr>
      <w:r>
        <w:rPr>
          <w:rFonts w:hint="eastAsia" w:ascii="宋体" w:hAnsi="宋体" w:cs="宋体"/>
          <w:b/>
          <w:color w:val="000000"/>
          <w:kern w:val="0"/>
          <w:sz w:val="24"/>
        </w:rPr>
        <w:t xml:space="preserve">第十三条 </w:t>
      </w:r>
      <w:r>
        <w:rPr>
          <w:rFonts w:hint="eastAsia" w:ascii="宋体" w:hAnsi="宋体" w:cs="宋体"/>
          <w:color w:val="000000"/>
          <w:kern w:val="0"/>
          <w:sz w:val="24"/>
        </w:rPr>
        <w:t>违约责任：</w:t>
      </w:r>
    </w:p>
    <w:p w14:paraId="34105E99">
      <w:pPr>
        <w:ind w:firstLine="616" w:firstLineChars="0"/>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1、违约情形</w:t>
      </w:r>
    </w:p>
    <w:p w14:paraId="734F8B7B">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本合同正式签订后，任何一方不履行或不完全履行本合同条款的，即构成违约。</w:t>
      </w:r>
    </w:p>
    <w:p w14:paraId="063E211F">
      <w:pPr>
        <w:ind w:firstLine="616" w:firstLineChars="0"/>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1）在产品履约期内，凡发现质量问题，由卖方负责处理，实行包换、包退，直至产品符合质量要求。报价人承担调换、退货发生的一切费用和买方的直接经济损失。</w:t>
      </w:r>
    </w:p>
    <w:p w14:paraId="6073285C">
      <w:pPr>
        <w:ind w:firstLine="616" w:firstLineChars="0"/>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2）卖方在接到买方通知后，应立即派人赴现场处理质量问题。</w:t>
      </w:r>
    </w:p>
    <w:p w14:paraId="18D7A8FD">
      <w:pPr>
        <w:ind w:firstLine="616" w:firstLineChars="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2、违约赔偿</w:t>
      </w:r>
    </w:p>
    <w:p w14:paraId="68853250">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除不可抗力外，如卖方发生不能按期提供服务，买方发生中途退货等情况，应及时以书面形式通知对方。买、卖双方应本着友好的态度进行协商，妥善解决。如协商无效，按下列规定处以罚金。</w:t>
      </w:r>
    </w:p>
    <w:p w14:paraId="0279AF7D">
      <w:pPr>
        <w:ind w:firstLine="616" w:firstLineChars="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1）逾期交货</w:t>
      </w:r>
    </w:p>
    <w:p w14:paraId="526E8DC6">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卖方逾期交货，按逾期交货部分总价计算向买方赔偿违约金，每逾期一天，按逾期设备总价的5%罚款。</w:t>
      </w:r>
    </w:p>
    <w:p w14:paraId="12470E80">
      <w:pPr>
        <w:numPr>
          <w:ilvl w:val="0"/>
          <w:numId w:val="0"/>
        </w:numPr>
        <w:ind w:firstLine="616" w:firstLineChars="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cstheme="minorEastAsia"/>
          <w:color w:val="000000" w:themeColor="text1"/>
          <w:sz w:val="24"/>
          <w:szCs w:val="24"/>
          <w:lang w:val="en-US"/>
          <w14:textFill>
            <w14:solidFill>
              <w14:schemeClr w14:val="tx1"/>
            </w14:solidFill>
          </w14:textFill>
        </w:rPr>
        <w:t>卖方不能交货</w:t>
      </w:r>
    </w:p>
    <w:p w14:paraId="1A9D0D37">
      <w:pPr>
        <w:numPr>
          <w:ilvl w:val="0"/>
          <w:numId w:val="0"/>
        </w:num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卖方不能交货或拒不供货，应向买方偿付违约金。违约金按不能履约设备部分价款的50%计算。</w:t>
      </w:r>
    </w:p>
    <w:p w14:paraId="4FB67B45">
      <w:pPr>
        <w:ind w:firstLine="616" w:firstLineChars="0"/>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3）逾期交货的违约赔偿</w:t>
      </w:r>
    </w:p>
    <w:p w14:paraId="068BE396">
      <w:pPr>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逾期交货的违约赔偿高限度为迟交货合同总价的30%，如违约金达到最高限额时报价人仍不能提供服务，买方可考虑终止合同。</w:t>
      </w:r>
    </w:p>
    <w:p w14:paraId="7586A444">
      <w:pPr>
        <w:snapToGrid w:val="0"/>
        <w:spacing w:line="560" w:lineRule="exact"/>
        <w:ind w:firstLine="482" w:firstLineChars="200"/>
        <w:rPr>
          <w:rFonts w:ascii="宋体" w:hAnsi="宋体" w:cs="宋体"/>
          <w:color w:val="000000"/>
          <w:kern w:val="0"/>
          <w:sz w:val="24"/>
        </w:rPr>
      </w:pPr>
      <w:r>
        <w:rPr>
          <w:rFonts w:hint="eastAsia" w:ascii="宋体" w:hAnsi="宋体" w:cs="宋体"/>
          <w:b/>
          <w:color w:val="000000"/>
          <w:kern w:val="0"/>
          <w:sz w:val="24"/>
        </w:rPr>
        <w:t>第十四条</w:t>
      </w:r>
      <w:r>
        <w:rPr>
          <w:rFonts w:hint="eastAsia" w:ascii="宋体" w:hAnsi="宋体" w:cs="宋体"/>
          <w:color w:val="000000"/>
          <w:kern w:val="0"/>
          <w:sz w:val="24"/>
        </w:rPr>
        <w:t xml:space="preserve"> 合同争议的解决：本合同在履行过程中发生的争议，由双方当事人协商解决；协商不成的，依法向买受人所在地人民法院起诉。</w:t>
      </w:r>
    </w:p>
    <w:p w14:paraId="238610D9">
      <w:pPr>
        <w:snapToGrid w:val="0"/>
        <w:spacing w:line="560" w:lineRule="exact"/>
        <w:ind w:firstLine="482" w:firstLineChars="200"/>
        <w:rPr>
          <w:rFonts w:ascii="宋体" w:hAnsi="宋体" w:cs="宋体"/>
          <w:color w:val="000000"/>
          <w:kern w:val="0"/>
          <w:sz w:val="24"/>
        </w:rPr>
      </w:pPr>
      <w:r>
        <w:rPr>
          <w:rFonts w:hint="eastAsia" w:ascii="宋体" w:hAnsi="宋体" w:cs="宋体"/>
          <w:b/>
          <w:color w:val="000000"/>
          <w:kern w:val="0"/>
          <w:sz w:val="24"/>
        </w:rPr>
        <w:t>第十五条</w:t>
      </w:r>
      <w:r>
        <w:rPr>
          <w:rFonts w:hint="eastAsia" w:ascii="宋体" w:hAnsi="宋体" w:cs="宋体"/>
          <w:color w:val="000000"/>
          <w:kern w:val="0"/>
          <w:sz w:val="24"/>
        </w:rPr>
        <w:t xml:space="preserve"> 本合同自双方签章之日起生效。</w:t>
      </w:r>
    </w:p>
    <w:p w14:paraId="4B3D93D4">
      <w:pPr>
        <w:pStyle w:val="9"/>
        <w:rPr>
          <w:rFonts w:hint="eastAsia" w:ascii="宋体" w:hAnsi="宋体" w:cs="宋体"/>
          <w:color w:val="000000"/>
          <w:kern w:val="0"/>
          <w:sz w:val="24"/>
          <w:u w:val="single"/>
        </w:rPr>
      </w:pPr>
      <w:r>
        <w:rPr>
          <w:rFonts w:hint="eastAsia" w:ascii="宋体" w:hAnsi="宋体" w:cs="宋体"/>
          <w:b/>
          <w:color w:val="000000"/>
          <w:kern w:val="0"/>
          <w:sz w:val="24"/>
        </w:rPr>
        <w:t>第十六条</w:t>
      </w:r>
      <w:r>
        <w:rPr>
          <w:rFonts w:hint="eastAsia" w:ascii="宋体" w:hAnsi="宋体" w:cs="宋体"/>
          <w:color w:val="000000"/>
          <w:kern w:val="0"/>
          <w:sz w:val="24"/>
        </w:rPr>
        <w:t xml:space="preserve"> 质保期：</w:t>
      </w:r>
      <w:r>
        <w:rPr>
          <w:rFonts w:hint="eastAsia" w:ascii="宋体" w:hAnsi="宋体" w:cs="宋体"/>
          <w:color w:val="000000"/>
          <w:kern w:val="0"/>
          <w:sz w:val="24"/>
          <w:u w:val="single"/>
        </w:rPr>
        <w:t xml:space="preserve"> 1</w:t>
      </w:r>
      <w:r>
        <w:rPr>
          <w:rFonts w:hint="eastAsia" w:ascii="宋体" w:hAnsi="宋体" w:cs="宋体"/>
          <w:color w:val="000000"/>
          <w:kern w:val="0"/>
          <w:sz w:val="24"/>
          <w:u w:val="single"/>
          <w:lang w:val="en-US" w:eastAsia="zh-CN"/>
        </w:rPr>
        <w:t>.</w:t>
      </w:r>
      <w:r>
        <w:rPr>
          <w:rFonts w:hint="eastAsia" w:ascii="宋体" w:hAnsi="宋体" w:cs="宋体"/>
          <w:color w:val="000000"/>
          <w:kern w:val="0"/>
          <w:sz w:val="24"/>
          <w:u w:val="single"/>
        </w:rPr>
        <w:t>制造商在项目所在地需设有维修点，维修人员接到维修电话后须在30分钟内赶到现场。维修点需提供足够的备件以满足维修需求。</w:t>
      </w:r>
    </w:p>
    <w:p w14:paraId="3A0C717E">
      <w:pPr>
        <w:pStyle w:val="9"/>
        <w:rPr>
          <w:rFonts w:hint="eastAsia" w:ascii="宋体" w:hAnsi="宋体" w:cs="宋体"/>
          <w:color w:val="000000"/>
          <w:kern w:val="0"/>
          <w:sz w:val="24"/>
          <w:u w:val="single"/>
        </w:rPr>
      </w:pPr>
      <w:r>
        <w:rPr>
          <w:rFonts w:hint="eastAsia" w:ascii="宋体" w:hAnsi="宋体" w:cs="宋体"/>
          <w:color w:val="000000"/>
          <w:kern w:val="0"/>
          <w:sz w:val="24"/>
          <w:u w:val="single"/>
        </w:rPr>
        <w:t>2</w:t>
      </w:r>
      <w:r>
        <w:rPr>
          <w:rFonts w:hint="eastAsia" w:ascii="宋体" w:hAnsi="宋体" w:cs="宋体"/>
          <w:color w:val="000000"/>
          <w:kern w:val="0"/>
          <w:sz w:val="24"/>
          <w:u w:val="single"/>
          <w:lang w:val="en-US" w:eastAsia="zh-CN"/>
        </w:rPr>
        <w:t>.</w:t>
      </w:r>
      <w:r>
        <w:rPr>
          <w:rFonts w:hint="eastAsia" w:ascii="宋体" w:hAnsi="宋体" w:cs="宋体"/>
          <w:color w:val="000000"/>
          <w:kern w:val="0"/>
          <w:sz w:val="24"/>
          <w:u w:val="single"/>
        </w:rPr>
        <w:t>成交人须对合同中规定的整套电梯提供全免费保养维修二十四个月（即免费维保期为两年），免费维保期自政府有关职能部门检验机构验收合格并向交付建设单位之日起计。</w:t>
      </w:r>
    </w:p>
    <w:p w14:paraId="581D2A27">
      <w:pPr>
        <w:pStyle w:val="9"/>
        <w:rPr>
          <w:rFonts w:hint="eastAsia" w:ascii="仿宋_GB2312" w:hAnsi="仿宋_GB2312" w:cs="仿宋_GB2312" w:eastAsiaTheme="minorEastAsia"/>
          <w:i/>
          <w:iCs/>
          <w:color w:val="FF0000"/>
          <w:kern w:val="0"/>
          <w:sz w:val="24"/>
          <w:highlight w:val="yellow"/>
          <w:lang w:eastAsia="zh-CN"/>
        </w:rPr>
      </w:pPr>
      <w:r>
        <w:rPr>
          <w:rFonts w:hint="eastAsia" w:ascii="宋体" w:hAnsi="宋体" w:cs="宋体"/>
          <w:color w:val="000000"/>
          <w:kern w:val="0"/>
          <w:sz w:val="24"/>
          <w:u w:val="single"/>
          <w:lang w:val="en-US" w:eastAsia="zh-CN"/>
        </w:rPr>
        <w:t>3.</w:t>
      </w:r>
      <w:r>
        <w:rPr>
          <w:rFonts w:hint="eastAsia" w:ascii="宋体" w:hAnsi="宋体" w:cs="宋体"/>
          <w:color w:val="000000"/>
          <w:kern w:val="0"/>
          <w:sz w:val="24"/>
          <w:u w:val="single"/>
        </w:rPr>
        <w:t>质保期内承担维保及检修、检验费（即交付前的验收费和质保期内的年检费）、非人为因素导致的配件更换及消耗品更换等所需费用。</w:t>
      </w:r>
    </w:p>
    <w:p w14:paraId="4D64817D">
      <w:pPr>
        <w:snapToGrid w:val="0"/>
        <w:spacing w:line="560" w:lineRule="exact"/>
        <w:ind w:firstLine="482" w:firstLineChars="200"/>
        <w:rPr>
          <w:rFonts w:hint="default" w:ascii="宋体" w:hAnsi="宋体" w:cs="宋体" w:eastAsiaTheme="minorEastAsia"/>
          <w:color w:val="000000"/>
          <w:kern w:val="0"/>
          <w:sz w:val="24"/>
          <w:lang w:val="en-US" w:eastAsia="zh-CN"/>
        </w:rPr>
      </w:pPr>
      <w:r>
        <w:rPr>
          <w:rFonts w:hint="eastAsia" w:ascii="宋体" w:hAnsi="宋体" w:cs="宋体"/>
          <w:b/>
          <w:color w:val="000000"/>
          <w:kern w:val="0"/>
          <w:sz w:val="24"/>
        </w:rPr>
        <w:t>第十七条</w:t>
      </w:r>
      <w:r>
        <w:rPr>
          <w:rFonts w:hint="eastAsia" w:ascii="宋体" w:hAnsi="宋体" w:cs="宋体"/>
          <w:color w:val="000000"/>
          <w:kern w:val="0"/>
          <w:sz w:val="24"/>
        </w:rPr>
        <w:t xml:space="preserve"> 其他约定事项：</w:t>
      </w:r>
      <w:r>
        <w:rPr>
          <w:rFonts w:hint="eastAsia" w:ascii="宋体" w:hAnsi="宋体" w:cs="宋体"/>
          <w:color w:val="000000"/>
          <w:kern w:val="0"/>
          <w:sz w:val="24"/>
          <w:lang w:val="en-US" w:eastAsia="zh-CN"/>
        </w:rPr>
        <w:t>1.</w:t>
      </w:r>
      <w:r>
        <w:rPr>
          <w:rFonts w:hint="eastAsia" w:ascii="宋体" w:hAnsi="宋体" w:cs="宋体"/>
          <w:color w:val="000000"/>
          <w:kern w:val="0"/>
          <w:sz w:val="24"/>
        </w:rPr>
        <w:t>所有</w:t>
      </w:r>
      <w:r>
        <w:rPr>
          <w:rFonts w:hint="eastAsia" w:ascii="宋体" w:hAnsi="宋体" w:cs="宋体"/>
          <w:color w:val="000000"/>
          <w:kern w:val="0"/>
          <w:sz w:val="24"/>
          <w:lang w:eastAsia="zh-CN"/>
        </w:rPr>
        <w:t>设备</w:t>
      </w:r>
      <w:r>
        <w:rPr>
          <w:rFonts w:hint="eastAsia" w:ascii="宋体" w:hAnsi="宋体" w:cs="宋体"/>
          <w:color w:val="000000"/>
          <w:kern w:val="0"/>
          <w:sz w:val="24"/>
        </w:rPr>
        <w:t>品牌须经买受人书面确认后方可供货。</w:t>
      </w:r>
      <w:r>
        <w:rPr>
          <w:rFonts w:hint="eastAsia" w:ascii="宋体" w:hAnsi="宋体" w:cs="宋体"/>
          <w:color w:val="000000"/>
          <w:kern w:val="0"/>
          <w:sz w:val="24"/>
          <w:lang w:val="en-US" w:eastAsia="zh-CN"/>
        </w:rPr>
        <w:t>2.</w:t>
      </w:r>
      <w:r>
        <w:rPr>
          <w:rFonts w:hint="eastAsia" w:ascii="宋体" w:hAnsi="宋体" w:cs="宋体"/>
          <w:color w:val="000000"/>
          <w:kern w:val="0"/>
          <w:sz w:val="24"/>
        </w:rPr>
        <w:t>出卖人配合现场验收、竣工资料归档、售后维修。</w:t>
      </w:r>
      <w:r>
        <w:rPr>
          <w:rFonts w:hint="eastAsia" w:ascii="宋体" w:hAnsi="宋体" w:cs="宋体"/>
          <w:color w:val="000000"/>
          <w:kern w:val="0"/>
          <w:sz w:val="24"/>
          <w:lang w:val="en-US" w:eastAsia="zh-CN"/>
        </w:rPr>
        <w:t>3.</w:t>
      </w:r>
      <w:r>
        <w:rPr>
          <w:rFonts w:hint="eastAsia" w:ascii="宋体" w:hAnsi="宋体" w:cs="宋体"/>
          <w:color w:val="000000"/>
          <w:kern w:val="0"/>
          <w:sz w:val="24"/>
        </w:rPr>
        <w:t>本合同严禁转包、分包供货。</w:t>
      </w:r>
      <w:r>
        <w:rPr>
          <w:rFonts w:hint="eastAsia" w:ascii="宋体" w:hAnsi="宋体" w:cs="宋体"/>
          <w:color w:val="000000"/>
          <w:kern w:val="0"/>
          <w:sz w:val="24"/>
          <w:lang w:val="en-US" w:eastAsia="zh-CN"/>
        </w:rPr>
        <w:t>4技术规格书作为本合同一部分，具有同等法律效力。</w:t>
      </w:r>
    </w:p>
    <w:p w14:paraId="611EA939">
      <w:pPr>
        <w:snapToGrid w:val="0"/>
        <w:spacing w:line="560" w:lineRule="exact"/>
        <w:ind w:firstLine="482" w:firstLineChars="200"/>
        <w:rPr>
          <w:rFonts w:ascii="宋体" w:hAnsi="宋体" w:cs="宋体"/>
          <w:color w:val="000000"/>
          <w:kern w:val="0"/>
          <w:sz w:val="24"/>
        </w:rPr>
      </w:pPr>
      <w:r>
        <w:rPr>
          <w:rFonts w:hint="eastAsia" w:ascii="宋体" w:hAnsi="宋体" w:cs="宋体"/>
          <w:b/>
          <w:color w:val="000000"/>
          <w:kern w:val="0"/>
          <w:sz w:val="24"/>
        </w:rPr>
        <w:t>第十八条</w:t>
      </w:r>
      <w:r>
        <w:rPr>
          <w:rFonts w:hint="eastAsia" w:ascii="宋体" w:hAnsi="宋体" w:cs="宋体"/>
          <w:color w:val="000000"/>
          <w:kern w:val="0"/>
          <w:sz w:val="24"/>
        </w:rPr>
        <w:t xml:space="preserve"> 本合同一式</w:t>
      </w:r>
      <w:r>
        <w:rPr>
          <w:rFonts w:hint="eastAsia" w:ascii="宋体" w:hAnsi="宋体" w:cs="宋体"/>
          <w:color w:val="000000"/>
          <w:kern w:val="0"/>
          <w:sz w:val="24"/>
          <w:u w:val="single"/>
        </w:rPr>
        <w:t xml:space="preserve"> 陆 </w:t>
      </w:r>
      <w:r>
        <w:rPr>
          <w:rFonts w:hint="eastAsia" w:ascii="宋体" w:hAnsi="宋体" w:cs="宋体"/>
          <w:color w:val="000000"/>
          <w:kern w:val="0"/>
          <w:sz w:val="24"/>
        </w:rPr>
        <w:t>份，出卖人</w:t>
      </w:r>
      <w:r>
        <w:rPr>
          <w:rFonts w:hint="eastAsia" w:ascii="宋体" w:hAnsi="宋体" w:cs="宋体"/>
          <w:color w:val="000000"/>
          <w:kern w:val="0"/>
          <w:sz w:val="24"/>
          <w:u w:val="single"/>
        </w:rPr>
        <w:t>贰</w:t>
      </w:r>
      <w:r>
        <w:rPr>
          <w:rFonts w:hint="eastAsia" w:ascii="宋体" w:hAnsi="宋体" w:cs="宋体"/>
          <w:color w:val="000000"/>
          <w:kern w:val="0"/>
          <w:sz w:val="24"/>
        </w:rPr>
        <w:t>份，买受人</w:t>
      </w:r>
      <w:r>
        <w:rPr>
          <w:rFonts w:hint="eastAsia" w:ascii="宋体" w:hAnsi="宋体" w:cs="宋体"/>
          <w:color w:val="000000"/>
          <w:kern w:val="0"/>
          <w:sz w:val="24"/>
          <w:u w:val="single"/>
        </w:rPr>
        <w:t>肆</w:t>
      </w:r>
      <w:r>
        <w:rPr>
          <w:rFonts w:hint="eastAsia" w:ascii="宋体" w:hAnsi="宋体" w:cs="宋体"/>
          <w:color w:val="000000"/>
          <w:kern w:val="0"/>
          <w:sz w:val="24"/>
        </w:rPr>
        <w:t>份。</w:t>
      </w:r>
    </w:p>
    <w:tbl>
      <w:tblPr>
        <w:tblStyle w:val="21"/>
        <w:tblpPr w:leftFromText="180" w:rightFromText="180" w:vertAnchor="text" w:horzAnchor="page" w:tblpX="1386" w:tblpY="399"/>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5"/>
        <w:gridCol w:w="4869"/>
      </w:tblGrid>
      <w:tr w14:paraId="1889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8" w:hRule="atLeast"/>
        </w:trPr>
        <w:tc>
          <w:tcPr>
            <w:tcW w:w="4765" w:type="dxa"/>
          </w:tcPr>
          <w:p w14:paraId="540B03CE">
            <w:pPr>
              <w:snapToGrid w:val="0"/>
              <w:spacing w:line="340" w:lineRule="exact"/>
              <w:jc w:val="center"/>
              <w:rPr>
                <w:rFonts w:ascii="宋体" w:hAnsi="宋体" w:cs="宋体"/>
                <w:color w:val="000000"/>
                <w:kern w:val="0"/>
                <w:sz w:val="24"/>
                <w:highlight w:val="none"/>
              </w:rPr>
            </w:pPr>
            <w:r>
              <w:rPr>
                <w:rFonts w:hint="eastAsia" w:ascii="宋体" w:hAnsi="宋体" w:cs="宋体"/>
                <w:color w:val="000000"/>
                <w:kern w:val="0"/>
                <w:sz w:val="24"/>
                <w:highlight w:val="none"/>
              </w:rPr>
              <w:t>出卖人</w:t>
            </w:r>
          </w:p>
          <w:p w14:paraId="644DA27B">
            <w:pPr>
              <w:snapToGrid w:val="0"/>
              <w:spacing w:line="340" w:lineRule="exact"/>
              <w:rPr>
                <w:rFonts w:ascii="宋体" w:hAnsi="宋体" w:cs="宋体"/>
                <w:color w:val="000000"/>
                <w:kern w:val="0"/>
                <w:sz w:val="18"/>
                <w:szCs w:val="18"/>
                <w:highlight w:val="none"/>
              </w:rPr>
            </w:pPr>
          </w:p>
          <w:p w14:paraId="44D418FD">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出卖人（章）：</w:t>
            </w:r>
          </w:p>
          <w:p w14:paraId="54E0623D">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住所：</w:t>
            </w:r>
          </w:p>
          <w:p w14:paraId="3D15C76D">
            <w:pPr>
              <w:tabs>
                <w:tab w:val="left" w:pos="3047"/>
              </w:tabs>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法定代表人：</w:t>
            </w:r>
            <w:r>
              <w:rPr>
                <w:rFonts w:hint="eastAsia" w:ascii="宋体" w:hAnsi="宋体" w:cs="宋体"/>
                <w:color w:val="000000"/>
                <w:kern w:val="0"/>
                <w:szCs w:val="21"/>
                <w:highlight w:val="none"/>
              </w:rPr>
              <w:tab/>
            </w:r>
          </w:p>
          <w:p w14:paraId="7CE05F7E">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委托代理人：</w:t>
            </w:r>
          </w:p>
          <w:p w14:paraId="751B4DE8">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电话：</w:t>
            </w:r>
          </w:p>
          <w:p w14:paraId="3DE2729A">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传真：</w:t>
            </w:r>
          </w:p>
          <w:p w14:paraId="0AABAD05">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开户银行：</w:t>
            </w:r>
          </w:p>
          <w:p w14:paraId="5621E4EB">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账号：</w:t>
            </w:r>
          </w:p>
          <w:p w14:paraId="7E77C260">
            <w:pPr>
              <w:snapToGrid w:val="0"/>
              <w:spacing w:line="340" w:lineRule="exact"/>
              <w:rPr>
                <w:rFonts w:hint="eastAsia" w:ascii="宋体" w:hAnsi="宋体" w:cs="宋体"/>
                <w:color w:val="000000"/>
                <w:kern w:val="0"/>
                <w:szCs w:val="21"/>
                <w:highlight w:val="none"/>
              </w:rPr>
            </w:pPr>
            <w:r>
              <w:rPr>
                <w:rFonts w:hint="eastAsia" w:ascii="宋体" w:hAnsi="宋体" w:cs="宋体"/>
                <w:color w:val="000000"/>
                <w:kern w:val="0"/>
                <w:szCs w:val="21"/>
                <w:highlight w:val="none"/>
              </w:rPr>
              <w:t>邮政编码：</w:t>
            </w:r>
          </w:p>
          <w:p w14:paraId="580C6426">
            <w:pPr>
              <w:snapToGrid w:val="0"/>
              <w:spacing w:line="340" w:lineRule="exact"/>
              <w:rPr>
                <w:rFonts w:hint="eastAsia"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年 月 日(以签章时间为准）</w:t>
            </w:r>
          </w:p>
        </w:tc>
        <w:tc>
          <w:tcPr>
            <w:tcW w:w="4869" w:type="dxa"/>
          </w:tcPr>
          <w:p w14:paraId="580E3C01">
            <w:pPr>
              <w:snapToGrid w:val="0"/>
              <w:spacing w:line="340" w:lineRule="exact"/>
              <w:jc w:val="center"/>
              <w:rPr>
                <w:rFonts w:ascii="宋体" w:hAnsi="宋体" w:cs="宋体"/>
                <w:color w:val="000000"/>
                <w:kern w:val="0"/>
                <w:sz w:val="24"/>
                <w:highlight w:val="none"/>
              </w:rPr>
            </w:pPr>
            <w:r>
              <w:rPr>
                <w:rFonts w:hint="eastAsia" w:ascii="宋体" w:hAnsi="宋体" w:cs="宋体"/>
                <w:color w:val="000000"/>
                <w:kern w:val="0"/>
                <w:sz w:val="24"/>
                <w:highlight w:val="none"/>
              </w:rPr>
              <w:t>买受人</w:t>
            </w:r>
          </w:p>
          <w:p w14:paraId="5A670DD3">
            <w:pPr>
              <w:snapToGrid w:val="0"/>
              <w:spacing w:line="340" w:lineRule="exact"/>
              <w:rPr>
                <w:rFonts w:ascii="宋体" w:hAnsi="宋体" w:cs="宋体"/>
                <w:color w:val="000000"/>
                <w:kern w:val="0"/>
                <w:sz w:val="18"/>
                <w:szCs w:val="18"/>
                <w:highlight w:val="none"/>
              </w:rPr>
            </w:pPr>
          </w:p>
          <w:p w14:paraId="4DDE9CF3">
            <w:pPr>
              <w:snapToGrid w:val="0"/>
              <w:spacing w:line="340" w:lineRule="exact"/>
              <w:rPr>
                <w:rFonts w:ascii="宋体" w:hAnsi="宋体" w:cs="宋体"/>
                <w:color w:val="000000"/>
                <w:kern w:val="0"/>
                <w:szCs w:val="21"/>
                <w:highlight w:val="none"/>
              </w:rPr>
            </w:pPr>
            <w:r>
              <w:rPr>
                <w:rFonts w:hint="eastAsia" w:ascii="宋体" w:hAnsi="宋体" w:cs="宋体"/>
                <w:color w:val="000000"/>
                <w:kern w:val="0"/>
                <w:szCs w:val="21"/>
                <w:highlight w:val="none"/>
              </w:rPr>
              <w:t>买受人（章）：淮北矿业(集团)工程建设有限责任公司</w:t>
            </w:r>
          </w:p>
          <w:p w14:paraId="0BC92C10">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住所：淮北市南黎路90号</w:t>
            </w:r>
          </w:p>
          <w:p w14:paraId="25535F88">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法定代表人：</w:t>
            </w:r>
          </w:p>
          <w:p w14:paraId="06B35405">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委托代理人：</w:t>
            </w:r>
          </w:p>
          <w:p w14:paraId="50931EA9">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电话：0561- 4943708</w:t>
            </w:r>
          </w:p>
          <w:p w14:paraId="055181FA">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传真：</w:t>
            </w:r>
          </w:p>
          <w:p w14:paraId="6307E0CC">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开户银行：淮北建行</w:t>
            </w:r>
            <w:r>
              <w:rPr>
                <w:rFonts w:hint="eastAsia" w:ascii="宋体" w:hAnsi="宋体" w:cs="宋体"/>
                <w:color w:val="000000"/>
                <w:kern w:val="0"/>
                <w:szCs w:val="21"/>
                <w:highlight w:val="none"/>
                <w:lang w:eastAsia="zh-CN"/>
              </w:rPr>
              <w:t>三堤口</w:t>
            </w:r>
            <w:r>
              <w:rPr>
                <w:rFonts w:hint="eastAsia" w:ascii="宋体" w:hAnsi="宋体" w:cs="宋体"/>
                <w:color w:val="000000"/>
                <w:kern w:val="0"/>
                <w:szCs w:val="21"/>
                <w:highlight w:val="none"/>
              </w:rPr>
              <w:t>支行</w:t>
            </w:r>
          </w:p>
          <w:p w14:paraId="67549619">
            <w:pPr>
              <w:snapToGrid w:val="0"/>
              <w:spacing w:line="340" w:lineRule="exact"/>
              <w:rPr>
                <w:rFonts w:ascii="宋体" w:hAnsi="宋体" w:cs="宋体"/>
                <w:color w:val="000000"/>
                <w:kern w:val="0"/>
                <w:szCs w:val="21"/>
                <w:highlight w:val="none"/>
                <w:u w:val="single"/>
              </w:rPr>
            </w:pPr>
            <w:r>
              <w:rPr>
                <w:rFonts w:hint="eastAsia" w:ascii="宋体" w:hAnsi="宋体" w:cs="宋体"/>
                <w:color w:val="000000"/>
                <w:kern w:val="0"/>
                <w:szCs w:val="21"/>
                <w:highlight w:val="none"/>
              </w:rPr>
              <w:t>账号：34001649608059369369</w:t>
            </w:r>
          </w:p>
          <w:p w14:paraId="0DD685B0">
            <w:pPr>
              <w:snapToGrid w:val="0"/>
              <w:spacing w:line="340" w:lineRule="exact"/>
              <w:rPr>
                <w:rFonts w:hint="eastAsia" w:ascii="宋体" w:hAnsi="宋体" w:cs="宋体" w:eastAsiaTheme="minorEastAsia"/>
                <w:color w:val="000000"/>
                <w:kern w:val="0"/>
                <w:szCs w:val="21"/>
                <w:highlight w:val="none"/>
                <w:lang w:val="en-US" w:eastAsia="zh-CN"/>
              </w:rPr>
            </w:pPr>
            <w:r>
              <w:rPr>
                <w:rFonts w:hint="eastAsia" w:ascii="宋体" w:hAnsi="宋体" w:cs="宋体"/>
                <w:color w:val="000000"/>
                <w:kern w:val="0"/>
                <w:szCs w:val="21"/>
                <w:highlight w:val="none"/>
              </w:rPr>
              <w:t>邮政编码：23500</w:t>
            </w:r>
            <w:r>
              <w:rPr>
                <w:rFonts w:hint="eastAsia" w:ascii="宋体" w:hAnsi="宋体" w:cs="宋体"/>
                <w:color w:val="000000"/>
                <w:kern w:val="0"/>
                <w:szCs w:val="21"/>
                <w:highlight w:val="none"/>
                <w:lang w:val="en-US" w:eastAsia="zh-CN"/>
              </w:rPr>
              <w:t>0</w:t>
            </w:r>
          </w:p>
          <w:p w14:paraId="758DF201">
            <w:pPr>
              <w:snapToGrid w:val="0"/>
              <w:spacing w:line="340" w:lineRule="exact"/>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年 月 日(以签章时间为准）</w:t>
            </w:r>
          </w:p>
        </w:tc>
      </w:tr>
    </w:tbl>
    <w:p w14:paraId="09FEFC58">
      <w:pPr>
        <w:spacing w:before="0" w:after="0" w:line="560" w:lineRule="exact"/>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20F68141">
      <w:pPr>
        <w:spacing w:before="0" w:after="0" w:line="560" w:lineRule="exact"/>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38259E75">
      <w:pPr>
        <w:spacing w:before="0" w:after="0" w:line="560" w:lineRule="exact"/>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332DA87C">
      <w:pPr>
        <w:spacing w:before="0" w:after="0" w:line="560" w:lineRule="exact"/>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084CADFE">
      <w:pPr>
        <w:spacing w:before="0" w:after="0" w:line="560" w:lineRule="exact"/>
        <w:jc w:val="left"/>
        <w:rPr>
          <w:rFonts w:hint="eastAsia" w:asciiTheme="minorEastAsia" w:hAnsiTheme="minorEastAsia" w:cstheme="minorEastAsia"/>
          <w:color w:val="000000" w:themeColor="text1"/>
          <w:sz w:val="24"/>
          <w:szCs w:val="24"/>
          <w:lang w:val="en-US"/>
          <w14:textFill>
            <w14:solidFill>
              <w14:schemeClr w14:val="tx1"/>
            </w14:solidFill>
          </w14:textFill>
        </w:rPr>
      </w:pPr>
    </w:p>
    <w:p w14:paraId="1BB9A1ED">
      <w:pPr>
        <w:pStyle w:val="2"/>
        <w:rPr>
          <w:rFonts w:hint="eastAsia" w:asciiTheme="minorEastAsia" w:hAnsiTheme="minorEastAsia" w:cstheme="minorEastAsia"/>
          <w:color w:val="000000" w:themeColor="text1"/>
          <w:sz w:val="24"/>
          <w:szCs w:val="24"/>
          <w:lang w:val="en-US"/>
          <w14:textFill>
            <w14:solidFill>
              <w14:schemeClr w14:val="tx1"/>
            </w14:solidFill>
          </w14:textFill>
        </w:rPr>
      </w:pPr>
    </w:p>
    <w:p w14:paraId="2A281D21">
      <w:pPr>
        <w:pStyle w:val="2"/>
        <w:rPr>
          <w:rFonts w:hint="eastAsia" w:asciiTheme="minorEastAsia" w:hAnsiTheme="minorEastAsia" w:cstheme="minorEastAsia"/>
          <w:color w:val="000000" w:themeColor="text1"/>
          <w:sz w:val="24"/>
          <w:szCs w:val="24"/>
          <w:lang w:val="en-US"/>
          <w14:textFill>
            <w14:solidFill>
              <w14:schemeClr w14:val="tx1"/>
            </w14:solidFill>
          </w14:textFill>
        </w:rPr>
      </w:pPr>
    </w:p>
    <w:p w14:paraId="6268B4DE">
      <w:pPr>
        <w:pStyle w:val="2"/>
        <w:rPr>
          <w:rFonts w:hint="eastAsia" w:asciiTheme="minorEastAsia" w:hAnsiTheme="minorEastAsia" w:cstheme="minorEastAsia"/>
          <w:color w:val="000000" w:themeColor="text1"/>
          <w:sz w:val="24"/>
          <w:szCs w:val="24"/>
          <w:lang w:val="en-US"/>
          <w14:textFill>
            <w14:solidFill>
              <w14:schemeClr w14:val="tx1"/>
            </w14:solidFill>
          </w14:textFill>
        </w:rPr>
      </w:pPr>
    </w:p>
    <w:p w14:paraId="6D76A545">
      <w:pPr>
        <w:spacing w:before="0" w:after="0" w:line="560" w:lineRule="exact"/>
        <w:jc w:val="left"/>
        <w:rPr>
          <w:rFonts w:hint="eastAsia" w:asciiTheme="minorEastAsia" w:hAnsiTheme="minorEastAsia" w:cstheme="minorEastAsia"/>
          <w:color w:val="000000" w:themeColor="text1"/>
          <w:sz w:val="24"/>
          <w:szCs w:val="24"/>
          <w:lang w:val="en-US" w:eastAsia="zh-CN"/>
          <w14:textFill>
            <w14:solidFill>
              <w14:schemeClr w14:val="tx1"/>
            </w14:solidFill>
          </w14:textFill>
        </w:rPr>
      </w:pPr>
    </w:p>
    <w:p w14:paraId="06CDABA4">
      <w:pPr>
        <w:pStyle w:val="13"/>
        <w:numPr>
          <w:ilvl w:val="0"/>
          <w:numId w:val="3"/>
        </w:numPr>
        <w:spacing w:before="0" w:after="0" w:line="480" w:lineRule="exact"/>
        <w:jc w:val="center"/>
        <w:outlineLvl w:val="0"/>
        <w:rPr>
          <w:rFonts w:hint="eastAsia" w:hAnsi="宋体" w:eastAsia="宋体" w:cs="宋体"/>
          <w:b/>
          <w:sz w:val="30"/>
          <w:szCs w:val="36"/>
          <w:lang w:val="en-US" w:eastAsia="zh-CN"/>
        </w:rPr>
      </w:pPr>
      <w:bookmarkStart w:id="135" w:name="_Toc27582"/>
      <w:r>
        <w:rPr>
          <w:rFonts w:hint="eastAsia" w:hAnsi="宋体" w:eastAsia="宋体" w:cs="宋体"/>
          <w:b/>
          <w:sz w:val="30"/>
          <w:szCs w:val="36"/>
          <w:lang w:val="en-US" w:eastAsia="zh-CN"/>
        </w:rPr>
        <w:t>附件</w:t>
      </w:r>
      <w:bookmarkEnd w:id="135"/>
    </w:p>
    <w:p w14:paraId="24912154">
      <w:pPr>
        <w:spacing w:line="480" w:lineRule="auto"/>
        <w:jc w:val="center"/>
        <w:rPr>
          <w:rFonts w:hint="default" w:ascii="宋体" w:hAnsi="宋体" w:eastAsia="宋体"/>
          <w:b/>
          <w:bCs/>
          <w:sz w:val="24"/>
          <w:szCs w:val="24"/>
          <w:lang w:val="en-US" w:eastAsia="zh-CN"/>
        </w:rPr>
      </w:pPr>
      <w:r>
        <w:rPr>
          <w:rFonts w:hint="eastAsia" w:ascii="宋体" w:hAnsi="宋体"/>
          <w:b/>
          <w:bCs/>
          <w:sz w:val="24"/>
          <w:szCs w:val="24"/>
          <w:lang w:eastAsia="zh-CN"/>
        </w:rPr>
        <w:t>《</w:t>
      </w:r>
      <w:r>
        <w:rPr>
          <w:rFonts w:hint="eastAsia" w:ascii="宋体" w:hAnsi="宋体"/>
          <w:b/>
          <w:bCs/>
          <w:sz w:val="24"/>
          <w:szCs w:val="24"/>
        </w:rPr>
        <w:t>电梯</w:t>
      </w:r>
      <w:r>
        <w:rPr>
          <w:rFonts w:hint="eastAsia" w:ascii="宋体" w:hAnsi="宋体"/>
          <w:b/>
          <w:bCs/>
          <w:sz w:val="24"/>
          <w:szCs w:val="24"/>
          <w:lang w:val="en-US" w:eastAsia="zh-CN"/>
        </w:rPr>
        <w:t>技术规格书》</w:t>
      </w:r>
    </w:p>
    <w:p w14:paraId="1FD49ABA">
      <w:pPr>
        <w:spacing w:line="480" w:lineRule="auto"/>
        <w:rPr>
          <w:rFonts w:hint="eastAsia"/>
          <w:b/>
          <w:bCs/>
          <w:sz w:val="24"/>
          <w:szCs w:val="24"/>
        </w:rPr>
      </w:pPr>
      <w:r>
        <w:rPr>
          <w:rFonts w:hint="eastAsia" w:ascii="宋体" w:hAnsi="宋体"/>
          <w:b/>
          <w:bCs/>
          <w:sz w:val="24"/>
          <w:szCs w:val="24"/>
        </w:rPr>
        <w:t>（一）基本参数</w:t>
      </w:r>
    </w:p>
    <w:p w14:paraId="42571666">
      <w:pPr>
        <w:tabs>
          <w:tab w:val="left" w:pos="1575"/>
        </w:tabs>
        <w:rPr>
          <w:rFonts w:ascii="宋体" w:hAnsi="宋体"/>
          <w:sz w:val="24"/>
          <w:szCs w:val="24"/>
        </w:rPr>
      </w:pPr>
      <w:r>
        <w:rPr>
          <w:sz w:val="24"/>
          <w:szCs w:val="24"/>
        </w:rPr>
        <w:tab/>
      </w:r>
    </w:p>
    <w:tbl>
      <w:tblPr>
        <w:tblStyle w:val="21"/>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1312"/>
        <w:gridCol w:w="785"/>
        <w:gridCol w:w="1134"/>
        <w:gridCol w:w="705"/>
        <w:gridCol w:w="729"/>
        <w:gridCol w:w="834"/>
        <w:gridCol w:w="750"/>
        <w:gridCol w:w="1232"/>
        <w:gridCol w:w="572"/>
        <w:gridCol w:w="430"/>
        <w:gridCol w:w="430"/>
      </w:tblGrid>
      <w:tr w14:paraId="2EE8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tcBorders>
              <w:top w:val="single" w:color="auto" w:sz="4" w:space="0"/>
              <w:left w:val="single" w:color="auto" w:sz="4" w:space="0"/>
              <w:bottom w:val="single" w:color="auto" w:sz="4" w:space="0"/>
              <w:right w:val="single" w:color="auto" w:sz="4" w:space="0"/>
            </w:tcBorders>
            <w:vAlign w:val="center"/>
          </w:tcPr>
          <w:p w14:paraId="74206300">
            <w:pPr>
              <w:jc w:val="center"/>
              <w:rPr>
                <w:rFonts w:ascii="宋体" w:hAnsi="宋体"/>
                <w:sz w:val="20"/>
                <w:szCs w:val="20"/>
              </w:rPr>
            </w:pPr>
            <w:r>
              <w:rPr>
                <w:rFonts w:hint="eastAsia" w:ascii="宋体" w:hAnsi="宋体"/>
                <w:sz w:val="20"/>
                <w:szCs w:val="20"/>
              </w:rPr>
              <w:t>基本要求</w:t>
            </w:r>
          </w:p>
        </w:tc>
        <w:tc>
          <w:tcPr>
            <w:tcW w:w="1312" w:type="dxa"/>
            <w:tcBorders>
              <w:top w:val="single" w:color="auto" w:sz="4" w:space="0"/>
              <w:left w:val="single" w:color="auto" w:sz="4" w:space="0"/>
              <w:bottom w:val="single" w:color="auto" w:sz="4" w:space="0"/>
              <w:right w:val="single" w:color="auto" w:sz="4" w:space="0"/>
            </w:tcBorders>
            <w:vAlign w:val="center"/>
          </w:tcPr>
          <w:p w14:paraId="5F055C5B">
            <w:pPr>
              <w:jc w:val="center"/>
              <w:rPr>
                <w:rFonts w:ascii="宋体" w:hAnsi="宋体"/>
                <w:sz w:val="20"/>
                <w:szCs w:val="20"/>
              </w:rPr>
            </w:pPr>
            <w:r>
              <w:rPr>
                <w:rFonts w:hint="eastAsia" w:ascii="宋体" w:hAnsi="宋体"/>
                <w:sz w:val="20"/>
                <w:szCs w:val="20"/>
              </w:rPr>
              <w:t>井道尺寸</w:t>
            </w:r>
          </w:p>
        </w:tc>
        <w:tc>
          <w:tcPr>
            <w:tcW w:w="785" w:type="dxa"/>
            <w:tcBorders>
              <w:top w:val="single" w:color="auto" w:sz="4" w:space="0"/>
              <w:left w:val="single" w:color="auto" w:sz="4" w:space="0"/>
              <w:bottom w:val="single" w:color="auto" w:sz="4" w:space="0"/>
              <w:right w:val="single" w:color="auto" w:sz="4" w:space="0"/>
            </w:tcBorders>
            <w:vAlign w:val="center"/>
          </w:tcPr>
          <w:p w14:paraId="62F1A67D">
            <w:pPr>
              <w:jc w:val="center"/>
              <w:rPr>
                <w:rFonts w:ascii="宋体" w:hAnsi="宋体"/>
                <w:sz w:val="20"/>
                <w:szCs w:val="20"/>
              </w:rPr>
            </w:pPr>
            <w:r>
              <w:rPr>
                <w:rFonts w:hint="eastAsia" w:ascii="宋体" w:hAnsi="宋体"/>
                <w:sz w:val="20"/>
                <w:szCs w:val="20"/>
              </w:rPr>
              <w:t>提升高度</w:t>
            </w:r>
          </w:p>
          <w:p w14:paraId="7830F712">
            <w:pPr>
              <w:jc w:val="center"/>
              <w:rPr>
                <w:rFonts w:ascii="宋体" w:hAnsi="宋体"/>
                <w:sz w:val="20"/>
                <w:szCs w:val="20"/>
              </w:rPr>
            </w:pPr>
            <w:r>
              <w:rPr>
                <w:rFonts w:hint="eastAsia" w:ascii="宋体" w:hAnsi="宋体"/>
                <w:sz w:val="20"/>
                <w:szCs w:val="20"/>
              </w:rPr>
              <w:t>(mm)</w:t>
            </w:r>
          </w:p>
        </w:tc>
        <w:tc>
          <w:tcPr>
            <w:tcW w:w="1134" w:type="dxa"/>
            <w:tcBorders>
              <w:top w:val="single" w:color="auto" w:sz="4" w:space="0"/>
              <w:left w:val="single" w:color="auto" w:sz="4" w:space="0"/>
              <w:bottom w:val="single" w:color="auto" w:sz="4" w:space="0"/>
              <w:right w:val="single" w:color="auto" w:sz="4" w:space="0"/>
            </w:tcBorders>
            <w:vAlign w:val="center"/>
          </w:tcPr>
          <w:p w14:paraId="74F00A40">
            <w:pPr>
              <w:jc w:val="center"/>
              <w:rPr>
                <w:rFonts w:ascii="宋体" w:hAnsi="宋体"/>
                <w:sz w:val="20"/>
                <w:szCs w:val="20"/>
              </w:rPr>
            </w:pPr>
            <w:r>
              <w:rPr>
                <w:rFonts w:hint="eastAsia" w:ascii="宋体" w:hAnsi="宋体"/>
                <w:sz w:val="20"/>
                <w:szCs w:val="20"/>
              </w:rPr>
              <w:t>顶层高度</w:t>
            </w:r>
          </w:p>
          <w:p w14:paraId="1D039F00">
            <w:pPr>
              <w:jc w:val="center"/>
              <w:rPr>
                <w:rFonts w:ascii="宋体" w:hAnsi="宋体"/>
                <w:sz w:val="20"/>
                <w:szCs w:val="20"/>
              </w:rPr>
            </w:pPr>
            <w:r>
              <w:rPr>
                <w:rFonts w:hint="eastAsia" w:ascii="宋体" w:hAnsi="宋体"/>
                <w:sz w:val="20"/>
                <w:szCs w:val="20"/>
              </w:rPr>
              <w:t>(mm)</w:t>
            </w:r>
          </w:p>
        </w:tc>
        <w:tc>
          <w:tcPr>
            <w:tcW w:w="705" w:type="dxa"/>
            <w:tcBorders>
              <w:top w:val="single" w:color="auto" w:sz="4" w:space="0"/>
              <w:left w:val="single" w:color="auto" w:sz="4" w:space="0"/>
              <w:bottom w:val="single" w:color="auto" w:sz="4" w:space="0"/>
              <w:right w:val="single" w:color="auto" w:sz="4" w:space="0"/>
            </w:tcBorders>
            <w:vAlign w:val="center"/>
          </w:tcPr>
          <w:p w14:paraId="42EC980F">
            <w:pPr>
              <w:jc w:val="center"/>
              <w:rPr>
                <w:rFonts w:ascii="宋体" w:hAnsi="宋体"/>
                <w:sz w:val="20"/>
                <w:szCs w:val="20"/>
              </w:rPr>
            </w:pPr>
            <w:r>
              <w:rPr>
                <w:rFonts w:hint="eastAsia" w:ascii="宋体" w:hAnsi="宋体"/>
                <w:sz w:val="20"/>
                <w:szCs w:val="20"/>
              </w:rPr>
              <w:t>底坑深度(mm)</w:t>
            </w:r>
          </w:p>
        </w:tc>
        <w:tc>
          <w:tcPr>
            <w:tcW w:w="729" w:type="dxa"/>
            <w:tcBorders>
              <w:top w:val="single" w:color="auto" w:sz="4" w:space="0"/>
              <w:left w:val="single" w:color="auto" w:sz="4" w:space="0"/>
              <w:bottom w:val="single" w:color="auto" w:sz="4" w:space="0"/>
              <w:right w:val="single" w:color="auto" w:sz="4" w:space="0"/>
            </w:tcBorders>
            <w:vAlign w:val="center"/>
          </w:tcPr>
          <w:p w14:paraId="08073C37">
            <w:pPr>
              <w:jc w:val="center"/>
              <w:rPr>
                <w:rFonts w:ascii="宋体" w:hAnsi="宋体"/>
                <w:sz w:val="20"/>
                <w:szCs w:val="20"/>
              </w:rPr>
            </w:pPr>
            <w:r>
              <w:rPr>
                <w:rFonts w:hint="eastAsia" w:ascii="宋体" w:hAnsi="宋体"/>
                <w:sz w:val="20"/>
                <w:szCs w:val="20"/>
              </w:rPr>
              <w:t>载重</w:t>
            </w:r>
          </w:p>
          <w:p w14:paraId="278F5297">
            <w:pPr>
              <w:jc w:val="center"/>
              <w:rPr>
                <w:rFonts w:ascii="宋体" w:hAnsi="宋体"/>
                <w:sz w:val="20"/>
                <w:szCs w:val="20"/>
              </w:rPr>
            </w:pPr>
            <w:r>
              <w:rPr>
                <w:rFonts w:hint="eastAsia" w:ascii="宋体" w:hAnsi="宋体"/>
                <w:sz w:val="20"/>
                <w:szCs w:val="20"/>
              </w:rPr>
              <w:t>(kg)</w:t>
            </w:r>
          </w:p>
        </w:tc>
        <w:tc>
          <w:tcPr>
            <w:tcW w:w="834" w:type="dxa"/>
            <w:tcBorders>
              <w:top w:val="single" w:color="auto" w:sz="4" w:space="0"/>
              <w:left w:val="single" w:color="auto" w:sz="4" w:space="0"/>
              <w:bottom w:val="single" w:color="auto" w:sz="4" w:space="0"/>
              <w:right w:val="single" w:color="auto" w:sz="4" w:space="0"/>
            </w:tcBorders>
            <w:vAlign w:val="center"/>
          </w:tcPr>
          <w:p w14:paraId="5EE7DEC5">
            <w:pPr>
              <w:jc w:val="center"/>
              <w:rPr>
                <w:rFonts w:ascii="宋体" w:hAnsi="宋体"/>
                <w:sz w:val="20"/>
                <w:szCs w:val="20"/>
              </w:rPr>
            </w:pPr>
            <w:r>
              <w:rPr>
                <w:rFonts w:hint="eastAsia" w:ascii="宋体" w:hAnsi="宋体"/>
                <w:sz w:val="20"/>
                <w:szCs w:val="20"/>
              </w:rPr>
              <w:t>速度</w:t>
            </w:r>
          </w:p>
          <w:p w14:paraId="60473375">
            <w:pPr>
              <w:jc w:val="center"/>
              <w:rPr>
                <w:rFonts w:ascii="宋体" w:hAnsi="宋体"/>
                <w:sz w:val="20"/>
                <w:szCs w:val="20"/>
              </w:rPr>
            </w:pPr>
            <w:r>
              <w:rPr>
                <w:rFonts w:hint="eastAsia" w:ascii="宋体" w:hAnsi="宋体"/>
                <w:sz w:val="20"/>
                <w:szCs w:val="20"/>
              </w:rPr>
              <w:t>(m/s)</w:t>
            </w:r>
          </w:p>
        </w:tc>
        <w:tc>
          <w:tcPr>
            <w:tcW w:w="750" w:type="dxa"/>
            <w:tcBorders>
              <w:top w:val="single" w:color="auto" w:sz="4" w:space="0"/>
              <w:left w:val="single" w:color="auto" w:sz="4" w:space="0"/>
              <w:bottom w:val="single" w:color="auto" w:sz="4" w:space="0"/>
              <w:right w:val="single" w:color="auto" w:sz="4" w:space="0"/>
            </w:tcBorders>
            <w:vAlign w:val="center"/>
          </w:tcPr>
          <w:p w14:paraId="6647C403">
            <w:pPr>
              <w:jc w:val="center"/>
              <w:rPr>
                <w:rFonts w:ascii="宋体" w:hAnsi="宋体"/>
                <w:sz w:val="20"/>
                <w:szCs w:val="20"/>
              </w:rPr>
            </w:pPr>
            <w:r>
              <w:rPr>
                <w:rFonts w:hint="eastAsia" w:ascii="宋体" w:hAnsi="宋体"/>
                <w:sz w:val="20"/>
                <w:szCs w:val="20"/>
              </w:rPr>
              <w:t>层/站</w:t>
            </w:r>
          </w:p>
        </w:tc>
        <w:tc>
          <w:tcPr>
            <w:tcW w:w="1232" w:type="dxa"/>
            <w:tcBorders>
              <w:top w:val="single" w:color="auto" w:sz="4" w:space="0"/>
              <w:left w:val="single" w:color="auto" w:sz="4" w:space="0"/>
              <w:bottom w:val="single" w:color="auto" w:sz="4" w:space="0"/>
              <w:right w:val="single" w:color="auto" w:sz="4" w:space="0"/>
            </w:tcBorders>
            <w:vAlign w:val="center"/>
          </w:tcPr>
          <w:p w14:paraId="4FD36843">
            <w:pPr>
              <w:jc w:val="center"/>
              <w:rPr>
                <w:rFonts w:ascii="宋体" w:hAnsi="宋体"/>
                <w:sz w:val="20"/>
                <w:szCs w:val="20"/>
              </w:rPr>
            </w:pPr>
            <w:r>
              <w:rPr>
                <w:rFonts w:hint="eastAsia" w:ascii="宋体" w:hAnsi="宋体"/>
                <w:sz w:val="20"/>
                <w:szCs w:val="20"/>
              </w:rPr>
              <w:t>门尺寸（宽*高mm）</w:t>
            </w:r>
          </w:p>
        </w:tc>
        <w:tc>
          <w:tcPr>
            <w:tcW w:w="572" w:type="dxa"/>
            <w:tcBorders>
              <w:top w:val="single" w:color="auto" w:sz="4" w:space="0"/>
              <w:left w:val="single" w:color="auto" w:sz="4" w:space="0"/>
              <w:bottom w:val="single" w:color="auto" w:sz="4" w:space="0"/>
              <w:right w:val="single" w:color="auto" w:sz="4" w:space="0"/>
            </w:tcBorders>
            <w:vAlign w:val="center"/>
          </w:tcPr>
          <w:p w14:paraId="3190338D">
            <w:pPr>
              <w:jc w:val="center"/>
              <w:rPr>
                <w:rFonts w:ascii="宋体" w:hAnsi="宋体"/>
                <w:sz w:val="20"/>
                <w:szCs w:val="20"/>
              </w:rPr>
            </w:pPr>
            <w:r>
              <w:rPr>
                <w:rFonts w:hint="eastAsia" w:ascii="宋体" w:hAnsi="宋体"/>
                <w:sz w:val="20"/>
                <w:szCs w:val="20"/>
              </w:rPr>
              <w:t>机房</w:t>
            </w:r>
          </w:p>
        </w:tc>
        <w:tc>
          <w:tcPr>
            <w:tcW w:w="430" w:type="dxa"/>
            <w:tcBorders>
              <w:top w:val="single" w:color="auto" w:sz="4" w:space="0"/>
              <w:left w:val="single" w:color="auto" w:sz="4" w:space="0"/>
              <w:bottom w:val="single" w:color="auto" w:sz="4" w:space="0"/>
              <w:right w:val="single" w:color="auto" w:sz="4" w:space="0"/>
            </w:tcBorders>
            <w:vAlign w:val="center"/>
          </w:tcPr>
          <w:p w14:paraId="7D1D74CF">
            <w:pPr>
              <w:jc w:val="center"/>
              <w:rPr>
                <w:rFonts w:ascii="宋体" w:hAnsi="宋体"/>
                <w:sz w:val="20"/>
                <w:szCs w:val="20"/>
              </w:rPr>
            </w:pPr>
            <w:r>
              <w:rPr>
                <w:rFonts w:hint="eastAsia" w:ascii="宋体" w:hAnsi="宋体"/>
                <w:sz w:val="20"/>
                <w:szCs w:val="20"/>
              </w:rPr>
              <w:t>台数</w:t>
            </w:r>
          </w:p>
        </w:tc>
        <w:tc>
          <w:tcPr>
            <w:tcW w:w="430" w:type="dxa"/>
            <w:tcBorders>
              <w:top w:val="single" w:color="auto" w:sz="4" w:space="0"/>
              <w:left w:val="single" w:color="auto" w:sz="4" w:space="0"/>
              <w:bottom w:val="single" w:color="auto" w:sz="4" w:space="0"/>
              <w:right w:val="single" w:color="auto" w:sz="4" w:space="0"/>
            </w:tcBorders>
            <w:vAlign w:val="center"/>
          </w:tcPr>
          <w:p w14:paraId="26FFC177">
            <w:pPr>
              <w:jc w:val="center"/>
              <w:rPr>
                <w:rFonts w:ascii="宋体" w:hAnsi="宋体"/>
                <w:sz w:val="20"/>
                <w:szCs w:val="20"/>
              </w:rPr>
            </w:pPr>
            <w:r>
              <w:rPr>
                <w:rFonts w:hint="eastAsia" w:ascii="宋体" w:hAnsi="宋体"/>
                <w:sz w:val="20"/>
                <w:szCs w:val="20"/>
              </w:rPr>
              <w:t>备注</w:t>
            </w:r>
          </w:p>
        </w:tc>
      </w:tr>
      <w:tr w14:paraId="0455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017" w:type="dxa"/>
            <w:tcBorders>
              <w:top w:val="single" w:color="auto" w:sz="4" w:space="0"/>
              <w:left w:val="single" w:color="auto" w:sz="4" w:space="0"/>
              <w:bottom w:val="single" w:color="auto" w:sz="4" w:space="0"/>
              <w:right w:val="single" w:color="auto" w:sz="4" w:space="0"/>
            </w:tcBorders>
            <w:vAlign w:val="center"/>
          </w:tcPr>
          <w:p w14:paraId="46C15D79">
            <w:pPr>
              <w:jc w:val="center"/>
              <w:rPr>
                <w:rFonts w:ascii="宋体" w:hAnsi="宋体"/>
                <w:sz w:val="20"/>
                <w:szCs w:val="20"/>
              </w:rPr>
            </w:pPr>
            <w:r>
              <w:rPr>
                <w:rFonts w:hint="eastAsia" w:ascii="宋体" w:hAnsi="宋体"/>
                <w:sz w:val="20"/>
                <w:szCs w:val="20"/>
              </w:rPr>
              <w:t>无障碍客梯电梯</w:t>
            </w:r>
          </w:p>
        </w:tc>
        <w:tc>
          <w:tcPr>
            <w:tcW w:w="1312" w:type="dxa"/>
            <w:tcBorders>
              <w:top w:val="single" w:color="auto" w:sz="4" w:space="0"/>
              <w:left w:val="single" w:color="auto" w:sz="4" w:space="0"/>
              <w:bottom w:val="single" w:color="auto" w:sz="4" w:space="0"/>
              <w:right w:val="single" w:color="auto" w:sz="4" w:space="0"/>
            </w:tcBorders>
            <w:vAlign w:val="center"/>
          </w:tcPr>
          <w:p w14:paraId="49FA46FB">
            <w:pPr>
              <w:jc w:val="center"/>
              <w:rPr>
                <w:rFonts w:ascii="宋体" w:hAnsi="宋体"/>
                <w:sz w:val="20"/>
                <w:szCs w:val="20"/>
              </w:rPr>
            </w:pPr>
            <w:r>
              <w:rPr>
                <w:rFonts w:hint="eastAsia" w:ascii="宋体" w:hAnsi="宋体"/>
                <w:sz w:val="20"/>
                <w:szCs w:val="20"/>
              </w:rPr>
              <w:t>2860*3000</w:t>
            </w:r>
          </w:p>
        </w:tc>
        <w:tc>
          <w:tcPr>
            <w:tcW w:w="785" w:type="dxa"/>
            <w:tcBorders>
              <w:top w:val="single" w:color="auto" w:sz="4" w:space="0"/>
              <w:left w:val="single" w:color="auto" w:sz="4" w:space="0"/>
              <w:bottom w:val="single" w:color="auto" w:sz="4" w:space="0"/>
              <w:right w:val="single" w:color="auto" w:sz="4" w:space="0"/>
            </w:tcBorders>
            <w:vAlign w:val="center"/>
          </w:tcPr>
          <w:p w14:paraId="6D214794">
            <w:pPr>
              <w:jc w:val="center"/>
              <w:rPr>
                <w:rFonts w:ascii="宋体" w:hAnsi="宋体"/>
                <w:sz w:val="20"/>
                <w:szCs w:val="20"/>
              </w:rPr>
            </w:pPr>
            <w:r>
              <w:rPr>
                <w:rFonts w:hint="eastAsia" w:ascii="宋体" w:hAnsi="宋体"/>
                <w:sz w:val="20"/>
                <w:szCs w:val="20"/>
              </w:rPr>
              <w:t>12000</w:t>
            </w:r>
          </w:p>
        </w:tc>
        <w:tc>
          <w:tcPr>
            <w:tcW w:w="1134" w:type="dxa"/>
            <w:tcBorders>
              <w:top w:val="single" w:color="auto" w:sz="4" w:space="0"/>
              <w:left w:val="single" w:color="auto" w:sz="4" w:space="0"/>
              <w:bottom w:val="single" w:color="auto" w:sz="4" w:space="0"/>
              <w:right w:val="single" w:color="auto" w:sz="4" w:space="0"/>
            </w:tcBorders>
            <w:vAlign w:val="center"/>
          </w:tcPr>
          <w:p w14:paraId="53A2D012">
            <w:pPr>
              <w:jc w:val="center"/>
              <w:rPr>
                <w:rFonts w:ascii="宋体" w:hAnsi="宋体"/>
                <w:sz w:val="20"/>
                <w:szCs w:val="20"/>
              </w:rPr>
            </w:pPr>
            <w:r>
              <w:rPr>
                <w:rFonts w:hint="eastAsia" w:ascii="宋体" w:hAnsi="宋体"/>
                <w:sz w:val="20"/>
                <w:szCs w:val="20"/>
              </w:rPr>
              <w:t>4600</w:t>
            </w:r>
          </w:p>
        </w:tc>
        <w:tc>
          <w:tcPr>
            <w:tcW w:w="705" w:type="dxa"/>
            <w:tcBorders>
              <w:top w:val="single" w:color="auto" w:sz="4" w:space="0"/>
              <w:left w:val="single" w:color="auto" w:sz="4" w:space="0"/>
              <w:bottom w:val="single" w:color="auto" w:sz="4" w:space="0"/>
              <w:right w:val="single" w:color="auto" w:sz="4" w:space="0"/>
            </w:tcBorders>
            <w:vAlign w:val="center"/>
          </w:tcPr>
          <w:p w14:paraId="3FF6EFD0">
            <w:pPr>
              <w:jc w:val="center"/>
              <w:rPr>
                <w:rFonts w:ascii="宋体" w:hAnsi="宋体"/>
                <w:sz w:val="20"/>
                <w:szCs w:val="20"/>
              </w:rPr>
            </w:pPr>
            <w:r>
              <w:rPr>
                <w:rFonts w:hint="eastAsia" w:ascii="宋体" w:hAnsi="宋体"/>
                <w:sz w:val="20"/>
                <w:szCs w:val="20"/>
              </w:rPr>
              <w:t>1800</w:t>
            </w:r>
          </w:p>
        </w:tc>
        <w:tc>
          <w:tcPr>
            <w:tcW w:w="729" w:type="dxa"/>
            <w:tcBorders>
              <w:top w:val="single" w:color="auto" w:sz="4" w:space="0"/>
              <w:left w:val="single" w:color="auto" w:sz="4" w:space="0"/>
              <w:bottom w:val="single" w:color="auto" w:sz="4" w:space="0"/>
              <w:right w:val="single" w:color="auto" w:sz="4" w:space="0"/>
            </w:tcBorders>
            <w:vAlign w:val="center"/>
          </w:tcPr>
          <w:p w14:paraId="307BFC9B">
            <w:pPr>
              <w:jc w:val="center"/>
              <w:rPr>
                <w:rFonts w:ascii="宋体" w:hAnsi="宋体"/>
                <w:sz w:val="20"/>
                <w:szCs w:val="20"/>
              </w:rPr>
            </w:pPr>
            <w:r>
              <w:rPr>
                <w:rFonts w:hint="eastAsia" w:ascii="宋体" w:hAnsi="宋体"/>
                <w:sz w:val="20"/>
                <w:szCs w:val="20"/>
              </w:rPr>
              <w:t>1250</w:t>
            </w:r>
          </w:p>
        </w:tc>
        <w:tc>
          <w:tcPr>
            <w:tcW w:w="834" w:type="dxa"/>
            <w:tcBorders>
              <w:top w:val="single" w:color="auto" w:sz="4" w:space="0"/>
              <w:left w:val="single" w:color="auto" w:sz="4" w:space="0"/>
              <w:bottom w:val="single" w:color="auto" w:sz="4" w:space="0"/>
              <w:right w:val="single" w:color="auto" w:sz="4" w:space="0"/>
            </w:tcBorders>
            <w:vAlign w:val="center"/>
          </w:tcPr>
          <w:p w14:paraId="047EB03D">
            <w:pPr>
              <w:jc w:val="center"/>
              <w:rPr>
                <w:rFonts w:ascii="宋体" w:hAnsi="宋体"/>
                <w:sz w:val="20"/>
                <w:szCs w:val="20"/>
              </w:rPr>
            </w:pPr>
            <w:r>
              <w:rPr>
                <w:rFonts w:hint="eastAsia" w:ascii="宋体" w:hAnsi="宋体"/>
                <w:sz w:val="20"/>
                <w:szCs w:val="20"/>
              </w:rPr>
              <w:t>1.75</w:t>
            </w:r>
          </w:p>
        </w:tc>
        <w:tc>
          <w:tcPr>
            <w:tcW w:w="750" w:type="dxa"/>
            <w:tcBorders>
              <w:top w:val="single" w:color="auto" w:sz="4" w:space="0"/>
              <w:left w:val="single" w:color="auto" w:sz="4" w:space="0"/>
              <w:bottom w:val="single" w:color="auto" w:sz="4" w:space="0"/>
              <w:right w:val="single" w:color="auto" w:sz="4" w:space="0"/>
            </w:tcBorders>
            <w:vAlign w:val="center"/>
          </w:tcPr>
          <w:p w14:paraId="4F34A8F2">
            <w:pPr>
              <w:jc w:val="center"/>
              <w:rPr>
                <w:rFonts w:ascii="宋体" w:hAnsi="宋体"/>
                <w:sz w:val="20"/>
                <w:szCs w:val="20"/>
              </w:rPr>
            </w:pPr>
            <w:r>
              <w:rPr>
                <w:rFonts w:hint="eastAsia" w:ascii="宋体" w:hAnsi="宋体"/>
                <w:sz w:val="20"/>
                <w:szCs w:val="20"/>
              </w:rPr>
              <w:t>3/3</w:t>
            </w:r>
          </w:p>
        </w:tc>
        <w:tc>
          <w:tcPr>
            <w:tcW w:w="1232" w:type="dxa"/>
            <w:tcBorders>
              <w:top w:val="single" w:color="auto" w:sz="4" w:space="0"/>
              <w:left w:val="single" w:color="auto" w:sz="4" w:space="0"/>
              <w:bottom w:val="single" w:color="auto" w:sz="4" w:space="0"/>
              <w:right w:val="single" w:color="auto" w:sz="4" w:space="0"/>
            </w:tcBorders>
            <w:vAlign w:val="center"/>
          </w:tcPr>
          <w:p w14:paraId="37872E73">
            <w:pPr>
              <w:jc w:val="center"/>
              <w:rPr>
                <w:rFonts w:ascii="宋体" w:hAnsi="宋体"/>
                <w:sz w:val="20"/>
                <w:szCs w:val="20"/>
              </w:rPr>
            </w:pPr>
            <w:r>
              <w:rPr>
                <w:rFonts w:hint="eastAsia" w:ascii="宋体" w:hAnsi="宋体"/>
                <w:sz w:val="20"/>
                <w:szCs w:val="20"/>
              </w:rPr>
              <w:t>1300*2300</w:t>
            </w:r>
          </w:p>
        </w:tc>
        <w:tc>
          <w:tcPr>
            <w:tcW w:w="572" w:type="dxa"/>
            <w:tcBorders>
              <w:top w:val="single" w:color="auto" w:sz="4" w:space="0"/>
              <w:left w:val="single" w:color="auto" w:sz="4" w:space="0"/>
              <w:bottom w:val="single" w:color="auto" w:sz="4" w:space="0"/>
              <w:right w:val="single" w:color="auto" w:sz="4" w:space="0"/>
            </w:tcBorders>
            <w:vAlign w:val="center"/>
          </w:tcPr>
          <w:p w14:paraId="5CF5C891">
            <w:pPr>
              <w:jc w:val="center"/>
              <w:rPr>
                <w:rFonts w:ascii="宋体" w:hAnsi="宋体"/>
                <w:sz w:val="20"/>
                <w:szCs w:val="20"/>
              </w:rPr>
            </w:pPr>
            <w:r>
              <w:rPr>
                <w:rFonts w:hint="eastAsia" w:ascii="宋体" w:hAnsi="宋体"/>
                <w:sz w:val="20"/>
                <w:szCs w:val="20"/>
              </w:rPr>
              <w:t>有</w:t>
            </w:r>
          </w:p>
        </w:tc>
        <w:tc>
          <w:tcPr>
            <w:tcW w:w="430" w:type="dxa"/>
            <w:tcBorders>
              <w:top w:val="single" w:color="auto" w:sz="4" w:space="0"/>
              <w:left w:val="single" w:color="auto" w:sz="4" w:space="0"/>
              <w:bottom w:val="single" w:color="auto" w:sz="4" w:space="0"/>
              <w:right w:val="single" w:color="auto" w:sz="4" w:space="0"/>
            </w:tcBorders>
            <w:vAlign w:val="center"/>
          </w:tcPr>
          <w:p w14:paraId="52858656">
            <w:pPr>
              <w:jc w:val="center"/>
              <w:rPr>
                <w:rFonts w:ascii="宋体" w:hAnsi="宋体"/>
                <w:sz w:val="20"/>
                <w:szCs w:val="20"/>
              </w:rPr>
            </w:pPr>
            <w:r>
              <w:rPr>
                <w:rFonts w:hint="eastAsia" w:ascii="宋体" w:hAnsi="宋体"/>
                <w:sz w:val="20"/>
                <w:szCs w:val="20"/>
              </w:rPr>
              <w:t>1</w:t>
            </w:r>
          </w:p>
        </w:tc>
        <w:tc>
          <w:tcPr>
            <w:tcW w:w="430" w:type="dxa"/>
            <w:tcBorders>
              <w:top w:val="single" w:color="auto" w:sz="4" w:space="0"/>
              <w:left w:val="single" w:color="auto" w:sz="4" w:space="0"/>
              <w:bottom w:val="single" w:color="auto" w:sz="4" w:space="0"/>
              <w:right w:val="single" w:color="auto" w:sz="4" w:space="0"/>
            </w:tcBorders>
            <w:vAlign w:val="center"/>
          </w:tcPr>
          <w:p w14:paraId="0214A2A2">
            <w:pPr>
              <w:jc w:val="center"/>
              <w:rPr>
                <w:rFonts w:ascii="宋体" w:hAnsi="宋体"/>
                <w:sz w:val="20"/>
                <w:szCs w:val="20"/>
              </w:rPr>
            </w:pPr>
            <w:r>
              <w:rPr>
                <w:rFonts w:hint="eastAsia" w:ascii="宋体" w:hAnsi="宋体"/>
                <w:sz w:val="20"/>
                <w:szCs w:val="20"/>
              </w:rPr>
              <w:t>5#楼</w:t>
            </w:r>
          </w:p>
        </w:tc>
      </w:tr>
      <w:tr w14:paraId="0E74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017" w:type="dxa"/>
            <w:tcBorders>
              <w:top w:val="single" w:color="auto" w:sz="4" w:space="0"/>
              <w:left w:val="single" w:color="auto" w:sz="4" w:space="0"/>
              <w:bottom w:val="single" w:color="auto" w:sz="4" w:space="0"/>
              <w:right w:val="single" w:color="auto" w:sz="4" w:space="0"/>
            </w:tcBorders>
            <w:vAlign w:val="center"/>
          </w:tcPr>
          <w:p w14:paraId="42564D0B">
            <w:pPr>
              <w:jc w:val="center"/>
              <w:rPr>
                <w:rFonts w:ascii="宋体" w:hAnsi="宋体"/>
                <w:sz w:val="20"/>
                <w:szCs w:val="20"/>
              </w:rPr>
            </w:pPr>
            <w:r>
              <w:rPr>
                <w:rFonts w:hint="eastAsia" w:ascii="宋体" w:hAnsi="宋体"/>
                <w:sz w:val="20"/>
                <w:szCs w:val="20"/>
              </w:rPr>
              <w:t>无机房电梯</w:t>
            </w:r>
          </w:p>
        </w:tc>
        <w:tc>
          <w:tcPr>
            <w:tcW w:w="1312" w:type="dxa"/>
            <w:tcBorders>
              <w:top w:val="single" w:color="auto" w:sz="4" w:space="0"/>
              <w:left w:val="single" w:color="auto" w:sz="4" w:space="0"/>
              <w:bottom w:val="single" w:color="auto" w:sz="4" w:space="0"/>
              <w:right w:val="single" w:color="auto" w:sz="4" w:space="0"/>
            </w:tcBorders>
            <w:vAlign w:val="center"/>
          </w:tcPr>
          <w:p w14:paraId="30189036">
            <w:pPr>
              <w:jc w:val="center"/>
              <w:rPr>
                <w:rFonts w:ascii="宋体" w:hAnsi="宋体"/>
                <w:sz w:val="20"/>
                <w:szCs w:val="20"/>
              </w:rPr>
            </w:pPr>
            <w:r>
              <w:rPr>
                <w:rFonts w:hint="eastAsia" w:ascii="宋体" w:hAnsi="宋体"/>
                <w:sz w:val="20"/>
                <w:szCs w:val="20"/>
              </w:rPr>
              <w:t>2000*2000</w:t>
            </w:r>
          </w:p>
        </w:tc>
        <w:tc>
          <w:tcPr>
            <w:tcW w:w="785" w:type="dxa"/>
            <w:tcBorders>
              <w:top w:val="single" w:color="auto" w:sz="4" w:space="0"/>
              <w:left w:val="single" w:color="auto" w:sz="4" w:space="0"/>
              <w:bottom w:val="single" w:color="auto" w:sz="4" w:space="0"/>
              <w:right w:val="single" w:color="auto" w:sz="4" w:space="0"/>
            </w:tcBorders>
            <w:vAlign w:val="center"/>
          </w:tcPr>
          <w:p w14:paraId="37CA1DF5">
            <w:pPr>
              <w:jc w:val="center"/>
              <w:rPr>
                <w:rFonts w:ascii="宋体" w:hAnsi="宋体"/>
                <w:sz w:val="20"/>
                <w:szCs w:val="20"/>
              </w:rPr>
            </w:pPr>
            <w:r>
              <w:rPr>
                <w:rFonts w:hint="eastAsia" w:ascii="宋体" w:hAnsi="宋体"/>
                <w:sz w:val="20"/>
                <w:szCs w:val="20"/>
              </w:rPr>
              <w:t>15800</w:t>
            </w:r>
          </w:p>
        </w:tc>
        <w:tc>
          <w:tcPr>
            <w:tcW w:w="1134" w:type="dxa"/>
            <w:tcBorders>
              <w:top w:val="single" w:color="auto" w:sz="4" w:space="0"/>
              <w:left w:val="single" w:color="auto" w:sz="4" w:space="0"/>
              <w:bottom w:val="single" w:color="auto" w:sz="4" w:space="0"/>
              <w:right w:val="single" w:color="auto" w:sz="4" w:space="0"/>
            </w:tcBorders>
            <w:vAlign w:val="center"/>
          </w:tcPr>
          <w:p w14:paraId="58FCCC28">
            <w:pPr>
              <w:jc w:val="center"/>
              <w:rPr>
                <w:rFonts w:ascii="宋体" w:hAnsi="宋体"/>
                <w:sz w:val="20"/>
                <w:szCs w:val="20"/>
              </w:rPr>
            </w:pPr>
            <w:r>
              <w:rPr>
                <w:rFonts w:hint="eastAsia" w:ascii="宋体" w:hAnsi="宋体"/>
                <w:sz w:val="20"/>
                <w:szCs w:val="20"/>
              </w:rPr>
              <w:t>4800</w:t>
            </w:r>
          </w:p>
        </w:tc>
        <w:tc>
          <w:tcPr>
            <w:tcW w:w="705" w:type="dxa"/>
            <w:tcBorders>
              <w:top w:val="single" w:color="auto" w:sz="4" w:space="0"/>
              <w:left w:val="single" w:color="auto" w:sz="4" w:space="0"/>
              <w:bottom w:val="single" w:color="auto" w:sz="4" w:space="0"/>
              <w:right w:val="single" w:color="auto" w:sz="4" w:space="0"/>
            </w:tcBorders>
            <w:vAlign w:val="center"/>
          </w:tcPr>
          <w:p w14:paraId="292F7AF9">
            <w:pPr>
              <w:jc w:val="center"/>
              <w:rPr>
                <w:rFonts w:ascii="宋体" w:hAnsi="宋体"/>
                <w:sz w:val="20"/>
                <w:szCs w:val="20"/>
              </w:rPr>
            </w:pPr>
            <w:r>
              <w:rPr>
                <w:rFonts w:hint="eastAsia" w:ascii="宋体" w:hAnsi="宋体"/>
                <w:sz w:val="20"/>
                <w:szCs w:val="20"/>
              </w:rPr>
              <w:t>1800</w:t>
            </w:r>
          </w:p>
        </w:tc>
        <w:tc>
          <w:tcPr>
            <w:tcW w:w="729" w:type="dxa"/>
            <w:tcBorders>
              <w:top w:val="single" w:color="auto" w:sz="4" w:space="0"/>
              <w:left w:val="single" w:color="auto" w:sz="4" w:space="0"/>
              <w:bottom w:val="single" w:color="auto" w:sz="4" w:space="0"/>
              <w:right w:val="single" w:color="auto" w:sz="4" w:space="0"/>
            </w:tcBorders>
            <w:vAlign w:val="center"/>
          </w:tcPr>
          <w:p w14:paraId="7D2E75FC">
            <w:pPr>
              <w:jc w:val="center"/>
              <w:rPr>
                <w:rFonts w:ascii="宋体" w:hAnsi="宋体"/>
                <w:sz w:val="20"/>
                <w:szCs w:val="20"/>
              </w:rPr>
            </w:pPr>
            <w:r>
              <w:rPr>
                <w:rFonts w:hint="eastAsia" w:ascii="宋体" w:hAnsi="宋体"/>
                <w:sz w:val="20"/>
                <w:szCs w:val="20"/>
              </w:rPr>
              <w:t>800</w:t>
            </w:r>
          </w:p>
        </w:tc>
        <w:tc>
          <w:tcPr>
            <w:tcW w:w="834" w:type="dxa"/>
            <w:tcBorders>
              <w:top w:val="single" w:color="auto" w:sz="4" w:space="0"/>
              <w:left w:val="single" w:color="auto" w:sz="4" w:space="0"/>
              <w:bottom w:val="single" w:color="auto" w:sz="4" w:space="0"/>
              <w:right w:val="single" w:color="auto" w:sz="4" w:space="0"/>
            </w:tcBorders>
            <w:vAlign w:val="center"/>
          </w:tcPr>
          <w:p w14:paraId="7A8CB198">
            <w:pPr>
              <w:jc w:val="center"/>
              <w:rPr>
                <w:rFonts w:ascii="宋体" w:hAnsi="宋体"/>
                <w:sz w:val="20"/>
                <w:szCs w:val="20"/>
              </w:rPr>
            </w:pPr>
            <w:r>
              <w:rPr>
                <w:rFonts w:hint="eastAsia" w:ascii="宋体" w:hAnsi="宋体"/>
                <w:sz w:val="20"/>
                <w:szCs w:val="20"/>
              </w:rPr>
              <w:t>1.75</w:t>
            </w:r>
          </w:p>
        </w:tc>
        <w:tc>
          <w:tcPr>
            <w:tcW w:w="750" w:type="dxa"/>
            <w:tcBorders>
              <w:top w:val="single" w:color="auto" w:sz="4" w:space="0"/>
              <w:left w:val="single" w:color="auto" w:sz="4" w:space="0"/>
              <w:bottom w:val="single" w:color="auto" w:sz="4" w:space="0"/>
              <w:right w:val="single" w:color="auto" w:sz="4" w:space="0"/>
            </w:tcBorders>
            <w:vAlign w:val="center"/>
          </w:tcPr>
          <w:p w14:paraId="7217E5D6">
            <w:pPr>
              <w:jc w:val="center"/>
              <w:rPr>
                <w:rFonts w:ascii="宋体" w:hAnsi="宋体"/>
                <w:sz w:val="20"/>
                <w:szCs w:val="20"/>
              </w:rPr>
            </w:pPr>
            <w:r>
              <w:rPr>
                <w:rFonts w:hint="eastAsia" w:ascii="宋体" w:hAnsi="宋体"/>
                <w:sz w:val="20"/>
                <w:szCs w:val="20"/>
              </w:rPr>
              <w:t>4/4</w:t>
            </w:r>
          </w:p>
        </w:tc>
        <w:tc>
          <w:tcPr>
            <w:tcW w:w="1232" w:type="dxa"/>
            <w:tcBorders>
              <w:top w:val="single" w:color="auto" w:sz="4" w:space="0"/>
              <w:left w:val="single" w:color="auto" w:sz="4" w:space="0"/>
              <w:bottom w:val="single" w:color="auto" w:sz="4" w:space="0"/>
              <w:right w:val="single" w:color="auto" w:sz="4" w:space="0"/>
            </w:tcBorders>
            <w:vAlign w:val="center"/>
          </w:tcPr>
          <w:p w14:paraId="75655231">
            <w:pPr>
              <w:jc w:val="center"/>
              <w:rPr>
                <w:rFonts w:ascii="宋体" w:hAnsi="宋体"/>
                <w:sz w:val="20"/>
                <w:szCs w:val="20"/>
              </w:rPr>
            </w:pPr>
            <w:r>
              <w:rPr>
                <w:rFonts w:hint="eastAsia" w:ascii="宋体" w:hAnsi="宋体"/>
                <w:sz w:val="20"/>
                <w:szCs w:val="20"/>
              </w:rPr>
              <w:t>1100*2300</w:t>
            </w:r>
          </w:p>
        </w:tc>
        <w:tc>
          <w:tcPr>
            <w:tcW w:w="572" w:type="dxa"/>
            <w:tcBorders>
              <w:top w:val="single" w:color="auto" w:sz="4" w:space="0"/>
              <w:left w:val="single" w:color="auto" w:sz="4" w:space="0"/>
              <w:bottom w:val="single" w:color="auto" w:sz="4" w:space="0"/>
              <w:right w:val="single" w:color="auto" w:sz="4" w:space="0"/>
            </w:tcBorders>
            <w:vAlign w:val="center"/>
          </w:tcPr>
          <w:p w14:paraId="5D891BE1">
            <w:pPr>
              <w:jc w:val="center"/>
              <w:rPr>
                <w:rFonts w:ascii="宋体" w:hAnsi="宋体"/>
                <w:sz w:val="20"/>
                <w:szCs w:val="20"/>
              </w:rPr>
            </w:pPr>
            <w:r>
              <w:rPr>
                <w:rFonts w:hint="eastAsia" w:ascii="宋体" w:hAnsi="宋体"/>
                <w:sz w:val="20"/>
                <w:szCs w:val="20"/>
              </w:rPr>
              <w:t>无</w:t>
            </w:r>
          </w:p>
        </w:tc>
        <w:tc>
          <w:tcPr>
            <w:tcW w:w="430" w:type="dxa"/>
            <w:tcBorders>
              <w:top w:val="single" w:color="auto" w:sz="4" w:space="0"/>
              <w:left w:val="single" w:color="auto" w:sz="4" w:space="0"/>
              <w:bottom w:val="single" w:color="auto" w:sz="4" w:space="0"/>
              <w:right w:val="single" w:color="auto" w:sz="4" w:space="0"/>
            </w:tcBorders>
            <w:vAlign w:val="center"/>
          </w:tcPr>
          <w:p w14:paraId="163A5FC7">
            <w:pPr>
              <w:jc w:val="center"/>
              <w:rPr>
                <w:rFonts w:ascii="宋体" w:hAnsi="宋体"/>
                <w:sz w:val="20"/>
                <w:szCs w:val="20"/>
              </w:rPr>
            </w:pPr>
            <w:r>
              <w:rPr>
                <w:rFonts w:hint="eastAsia" w:ascii="宋体" w:hAnsi="宋体"/>
                <w:sz w:val="20"/>
                <w:szCs w:val="20"/>
              </w:rPr>
              <w:t>1</w:t>
            </w:r>
          </w:p>
        </w:tc>
        <w:tc>
          <w:tcPr>
            <w:tcW w:w="430" w:type="dxa"/>
            <w:tcBorders>
              <w:top w:val="single" w:color="auto" w:sz="4" w:space="0"/>
              <w:left w:val="single" w:color="auto" w:sz="4" w:space="0"/>
              <w:bottom w:val="single" w:color="auto" w:sz="4" w:space="0"/>
              <w:right w:val="single" w:color="auto" w:sz="4" w:space="0"/>
            </w:tcBorders>
            <w:vAlign w:val="center"/>
          </w:tcPr>
          <w:p w14:paraId="5F8EBCE8">
            <w:pPr>
              <w:jc w:val="center"/>
              <w:rPr>
                <w:rFonts w:ascii="宋体" w:hAnsi="宋体"/>
                <w:sz w:val="20"/>
                <w:szCs w:val="20"/>
              </w:rPr>
            </w:pPr>
            <w:r>
              <w:rPr>
                <w:rFonts w:hint="eastAsia" w:ascii="宋体" w:hAnsi="宋体"/>
                <w:sz w:val="20"/>
                <w:szCs w:val="20"/>
              </w:rPr>
              <w:t>7#楼</w:t>
            </w:r>
          </w:p>
        </w:tc>
      </w:tr>
    </w:tbl>
    <w:p w14:paraId="3763699D">
      <w:pPr>
        <w:widowControl/>
        <w:suppressAutoHyphens w:val="0"/>
        <w:jc w:val="left"/>
        <w:rPr>
          <w:rFonts w:ascii="宋体" w:hAnsi="宋体" w:cs="宋体"/>
        </w:rPr>
        <w:sectPr>
          <w:pgSz w:w="11906" w:h="16838"/>
          <w:pgMar w:top="1440" w:right="1800" w:bottom="1440" w:left="1800" w:header="851" w:footer="992" w:gutter="0"/>
          <w:cols w:space="720" w:num="1"/>
          <w:docGrid w:type="lines" w:linePitch="312" w:charSpace="0"/>
        </w:sectPr>
      </w:pPr>
    </w:p>
    <w:p w14:paraId="52437DFC">
      <w:pPr>
        <w:spacing w:line="480" w:lineRule="auto"/>
        <w:rPr>
          <w:rFonts w:hint="eastAsia"/>
          <w:b/>
          <w:bCs/>
          <w:sz w:val="24"/>
          <w:szCs w:val="24"/>
        </w:rPr>
      </w:pPr>
      <w:r>
        <w:rPr>
          <w:rFonts w:hint="eastAsia" w:ascii="宋体" w:hAnsi="宋体"/>
          <w:b/>
          <w:bCs/>
          <w:sz w:val="24"/>
          <w:szCs w:val="24"/>
        </w:rPr>
        <w:t>二）技术规格要求</w:t>
      </w:r>
    </w:p>
    <w:p w14:paraId="33E9B382">
      <w:pPr>
        <w:spacing w:beforeLines="50" w:afterLines="50"/>
        <w:rPr>
          <w:rFonts w:ascii="宋体" w:hAnsi="宋体"/>
          <w:b/>
          <w:bCs/>
          <w:sz w:val="24"/>
          <w:szCs w:val="24"/>
        </w:rPr>
      </w:pPr>
      <w:r>
        <w:rPr>
          <w:rFonts w:hint="eastAsia" w:ascii="宋体" w:hAnsi="宋体"/>
          <w:b/>
          <w:bCs/>
          <w:sz w:val="24"/>
          <w:szCs w:val="24"/>
        </w:rPr>
        <w:t>电梯主要配置：</w:t>
      </w:r>
    </w:p>
    <w:p w14:paraId="33E7B741">
      <w:pPr>
        <w:spacing w:line="480" w:lineRule="exact"/>
        <w:ind w:left="-2" w:leftChars="-1" w:firstLine="440" w:firstLineChars="200"/>
        <w:rPr>
          <w:rFonts w:hint="eastAsia" w:ascii="宋体" w:hAnsi="宋体"/>
        </w:rPr>
      </w:pPr>
      <w:r>
        <w:rPr>
          <w:rFonts w:hint="eastAsia" w:ascii="宋体" w:hAnsi="宋体"/>
        </w:rPr>
        <w:t>1、曳引机：采用永磁同步无齿轮曳引机。</w:t>
      </w:r>
    </w:p>
    <w:p w14:paraId="7EB59A18">
      <w:pPr>
        <w:spacing w:line="480" w:lineRule="exact"/>
        <w:ind w:left="-2" w:leftChars="-1" w:firstLine="440" w:firstLineChars="200"/>
        <w:rPr>
          <w:rFonts w:hint="eastAsia" w:ascii="宋体" w:hAnsi="宋体"/>
        </w:rPr>
      </w:pPr>
      <w:r>
        <w:rPr>
          <w:rFonts w:hint="eastAsia" w:ascii="宋体" w:hAnsi="宋体"/>
        </w:rPr>
        <w:t>2、门机：采用变频、变压、变速（VVVF）门机控制器。</w:t>
      </w:r>
    </w:p>
    <w:p w14:paraId="048D5D88">
      <w:pPr>
        <w:spacing w:line="480" w:lineRule="exact"/>
        <w:ind w:left="-2" w:leftChars="-1" w:firstLine="440" w:firstLineChars="200"/>
        <w:rPr>
          <w:rFonts w:hint="eastAsia" w:ascii="宋体" w:hAnsi="宋体"/>
        </w:rPr>
      </w:pPr>
      <w:r>
        <w:rPr>
          <w:rFonts w:hint="eastAsia" w:ascii="宋体" w:hAnsi="宋体"/>
        </w:rPr>
        <w:t>3、门保护：采用红外线光幕门保护装置。</w:t>
      </w:r>
    </w:p>
    <w:p w14:paraId="4E17BF8F">
      <w:pPr>
        <w:spacing w:line="480" w:lineRule="exact"/>
        <w:ind w:firstLine="440" w:firstLineChars="200"/>
        <w:rPr>
          <w:rFonts w:hint="eastAsia" w:ascii="宋体" w:hAnsi="宋体"/>
          <w:color w:val="000000"/>
        </w:rPr>
      </w:pPr>
      <w:r>
        <w:rPr>
          <w:rFonts w:hint="eastAsia" w:ascii="宋体" w:hAnsi="宋体"/>
        </w:rPr>
        <w:t>4、操作系统：采用电脑全集选方式</w:t>
      </w:r>
      <w:r>
        <w:rPr>
          <w:rFonts w:hint="eastAsia" w:ascii="宋体" w:hAnsi="宋体"/>
          <w:color w:val="000000"/>
        </w:rPr>
        <w:t>。</w:t>
      </w:r>
    </w:p>
    <w:p w14:paraId="25A96974">
      <w:pPr>
        <w:tabs>
          <w:tab w:val="center" w:pos="4745"/>
        </w:tabs>
        <w:spacing w:line="480" w:lineRule="exact"/>
        <w:ind w:firstLine="440" w:firstLineChars="200"/>
        <w:rPr>
          <w:rFonts w:hint="eastAsia" w:ascii="宋体" w:hAnsi="宋体"/>
          <w:color w:val="000000"/>
        </w:rPr>
      </w:pPr>
      <w:r>
        <w:rPr>
          <w:rFonts w:hint="eastAsia" w:ascii="宋体" w:hAnsi="宋体"/>
          <w:color w:val="000000"/>
        </w:rPr>
        <w:t>5、</w:t>
      </w:r>
      <w:r>
        <w:rPr>
          <w:rFonts w:hint="eastAsia" w:ascii="宋体" w:hAnsi="宋体"/>
          <w:sz w:val="24"/>
          <w:szCs w:val="24"/>
        </w:rPr>
        <w:t>缓冲器墩座采用钢底座材质</w:t>
      </w:r>
      <w:r>
        <w:rPr>
          <w:rFonts w:hint="eastAsia" w:ascii="宋体" w:hAnsi="宋体"/>
          <w:color w:val="000000"/>
        </w:rPr>
        <w:tab/>
      </w:r>
    </w:p>
    <w:p w14:paraId="7501D5DC">
      <w:pPr>
        <w:spacing w:line="480" w:lineRule="exact"/>
        <w:rPr>
          <w:rFonts w:hint="eastAsia" w:ascii="宋体" w:hAnsi="宋体"/>
          <w:sz w:val="24"/>
          <w:szCs w:val="24"/>
        </w:rPr>
      </w:pPr>
      <w:r>
        <w:rPr>
          <w:rFonts w:hint="eastAsia" w:ascii="宋体" w:hAnsi="宋体"/>
          <w:b/>
          <w:bCs/>
          <w:sz w:val="24"/>
          <w:szCs w:val="24"/>
        </w:rPr>
        <w:t>电梯装饰要求：</w:t>
      </w:r>
      <w:r>
        <w:rPr>
          <w:rFonts w:hint="eastAsia" w:ascii="宋体" w:hAnsi="宋体"/>
          <w:sz w:val="24"/>
          <w:szCs w:val="24"/>
        </w:rPr>
        <w:t xml:space="preserve"> </w:t>
      </w:r>
    </w:p>
    <w:p w14:paraId="07568203">
      <w:pPr>
        <w:numPr>
          <w:ilvl w:val="0"/>
          <w:numId w:val="4"/>
        </w:numPr>
        <w:spacing w:line="480" w:lineRule="exact"/>
        <w:rPr>
          <w:rFonts w:hint="eastAsia" w:ascii="宋体" w:hAnsi="宋体"/>
        </w:rPr>
      </w:pPr>
      <w:r>
        <w:rPr>
          <w:rFonts w:hint="eastAsia" w:ascii="宋体" w:hAnsi="宋体"/>
        </w:rPr>
        <w:t>轿厢尺寸：详见基本参数要求，病床梯净高度≥2600mm，无机房电梯净高度≥2400mm。</w:t>
      </w:r>
    </w:p>
    <w:p w14:paraId="64B4AC7D">
      <w:pPr>
        <w:spacing w:line="480" w:lineRule="exact"/>
        <w:ind w:left="418"/>
        <w:rPr>
          <w:rFonts w:hint="eastAsia" w:ascii="宋体" w:hAnsi="宋体"/>
        </w:rPr>
      </w:pPr>
      <w:r>
        <w:rPr>
          <w:rFonts w:hint="eastAsia" w:ascii="宋体" w:hAnsi="宋体"/>
        </w:rPr>
        <w:t>2、轿厢顶：采用明亮大气型吊顶，304#发纹不锈钢，提供不少于四处光源，LED照明（根据现场设计风格提供不低于三种方案供甲方选择），费用包含在报价中</w:t>
      </w:r>
    </w:p>
    <w:p w14:paraId="381784E6">
      <w:pPr>
        <w:spacing w:line="480" w:lineRule="exact"/>
        <w:ind w:left="1318" w:leftChars="199" w:hanging="880" w:hangingChars="400"/>
        <w:rPr>
          <w:rFonts w:hint="eastAsia" w:ascii="宋体" w:hAnsi="宋体"/>
        </w:rPr>
      </w:pPr>
      <w:r>
        <w:rPr>
          <w:rFonts w:hint="eastAsia" w:ascii="宋体" w:hAnsi="宋体"/>
        </w:rPr>
        <w:t>3、轿厢壁：前壁304#发纹不锈钢，侧壁304发纹不锈钢结合蚀刻发纹不锈钢，后壁镜面不锈钢结合蚀刻发纹不锈钢。不锈钢厚度≥1.5mm。</w:t>
      </w:r>
    </w:p>
    <w:p w14:paraId="75065475">
      <w:pPr>
        <w:spacing w:line="480" w:lineRule="exact"/>
        <w:ind w:left="-2" w:leftChars="-1" w:firstLine="440" w:firstLineChars="200"/>
        <w:rPr>
          <w:rFonts w:hint="eastAsia" w:ascii="宋体" w:hAnsi="宋体"/>
        </w:rPr>
      </w:pPr>
      <w:r>
        <w:rPr>
          <w:rFonts w:hint="eastAsia" w:ascii="宋体" w:hAnsi="宋体"/>
        </w:rPr>
        <w:t>4、轿厢门：304#发纹不锈钢, 不锈钢厚度≥1.5mm。</w:t>
      </w:r>
    </w:p>
    <w:p w14:paraId="5CAECECE">
      <w:pPr>
        <w:spacing w:line="480" w:lineRule="exact"/>
        <w:ind w:firstLine="440" w:firstLineChars="200"/>
        <w:rPr>
          <w:rFonts w:hint="eastAsia" w:ascii="宋体" w:hAnsi="宋体"/>
        </w:rPr>
      </w:pPr>
      <w:r>
        <w:rPr>
          <w:rFonts w:hint="eastAsia" w:ascii="宋体" w:hAnsi="宋体"/>
        </w:rPr>
        <w:t>5、轿厢地面：每台电梯预留500Kg重量，预留重量内采用预拌砂浆，地面铺设单色大理石，（根据现场设计风格提供不低于三种方案供甲方选择），费用包含在报价中。</w:t>
      </w:r>
    </w:p>
    <w:p w14:paraId="1F0D950B">
      <w:pPr>
        <w:spacing w:line="480" w:lineRule="exact"/>
        <w:ind w:firstLine="440" w:firstLineChars="200"/>
        <w:rPr>
          <w:rFonts w:hint="eastAsia" w:ascii="宋体" w:hAnsi="宋体"/>
        </w:rPr>
      </w:pPr>
      <w:r>
        <w:rPr>
          <w:rFonts w:hint="eastAsia" w:ascii="宋体" w:hAnsi="宋体"/>
        </w:rPr>
        <w:t>6、轿厢内呼: 液晶显示屏(显示楼层和方向)。预留标准接口，便于后期编辑</w:t>
      </w:r>
    </w:p>
    <w:p w14:paraId="222BD653">
      <w:pPr>
        <w:spacing w:line="480" w:lineRule="exact"/>
        <w:ind w:firstLine="440" w:firstLineChars="200"/>
        <w:rPr>
          <w:rFonts w:hint="eastAsia" w:ascii="宋体" w:hAnsi="宋体"/>
        </w:rPr>
      </w:pPr>
      <w:r>
        <w:rPr>
          <w:rFonts w:hint="eastAsia" w:ascii="宋体" w:hAnsi="宋体"/>
        </w:rPr>
        <w:t>7、通风设施：变频轴流风扇，不少于两个出风口</w:t>
      </w:r>
    </w:p>
    <w:p w14:paraId="00D6D168">
      <w:pPr>
        <w:spacing w:line="480" w:lineRule="exact"/>
        <w:ind w:firstLine="440" w:firstLineChars="200"/>
        <w:rPr>
          <w:rFonts w:hint="eastAsia" w:ascii="宋体" w:hAnsi="宋体"/>
        </w:rPr>
      </w:pPr>
      <w:r>
        <w:rPr>
          <w:rFonts w:hint="eastAsia" w:ascii="宋体" w:hAnsi="宋体"/>
        </w:rPr>
        <w:t>8、扶手：发纹不锈钢圆扶手</w:t>
      </w:r>
    </w:p>
    <w:p w14:paraId="6CE7D89F">
      <w:pPr>
        <w:spacing w:line="480" w:lineRule="exact"/>
        <w:ind w:left="-2" w:leftChars="-1" w:firstLine="440" w:firstLineChars="200"/>
        <w:rPr>
          <w:rFonts w:hint="eastAsia" w:ascii="宋体" w:hAnsi="宋体"/>
        </w:rPr>
      </w:pPr>
      <w:r>
        <w:rPr>
          <w:rFonts w:hint="eastAsia" w:ascii="宋体" w:hAnsi="宋体"/>
        </w:rPr>
        <w:t>9、层门、门套：所有层门304#发纹不锈钢。 板材厚度≥1.5mm</w:t>
      </w:r>
    </w:p>
    <w:p w14:paraId="46B39104">
      <w:pPr>
        <w:spacing w:line="480" w:lineRule="exact"/>
        <w:ind w:firstLine="440" w:firstLineChars="200"/>
        <w:rPr>
          <w:rFonts w:hint="eastAsia" w:ascii="宋体" w:hAnsi="宋体"/>
        </w:rPr>
      </w:pPr>
      <w:r>
        <w:rPr>
          <w:rFonts w:hint="eastAsia" w:ascii="宋体" w:hAnsi="宋体"/>
        </w:rPr>
        <w:t>10、外呼面板： 发纹不锈钢结合亚克力板，暗装。</w:t>
      </w:r>
    </w:p>
    <w:p w14:paraId="12E95FC7">
      <w:pPr>
        <w:spacing w:line="480" w:lineRule="exact"/>
        <w:ind w:left="-2" w:leftChars="-1" w:firstLine="440" w:firstLineChars="200"/>
        <w:rPr>
          <w:rFonts w:hint="eastAsia" w:ascii="宋体" w:hAnsi="宋体"/>
          <w:color w:val="000000"/>
        </w:rPr>
      </w:pPr>
      <w:r>
        <w:rPr>
          <w:rFonts w:hint="eastAsia" w:ascii="宋体" w:hAnsi="宋体"/>
          <w:color w:val="000000"/>
        </w:rPr>
        <w:t>11、显示方式：4.3寸液晶显示。</w:t>
      </w:r>
    </w:p>
    <w:p w14:paraId="21C01E72">
      <w:pPr>
        <w:spacing w:line="480" w:lineRule="exact"/>
        <w:ind w:firstLine="440" w:firstLineChars="200"/>
        <w:rPr>
          <w:rFonts w:hint="eastAsia" w:ascii="宋体" w:hAnsi="宋体"/>
        </w:rPr>
      </w:pPr>
      <w:r>
        <w:rPr>
          <w:rFonts w:hint="eastAsia" w:ascii="宋体" w:hAnsi="宋体"/>
        </w:rPr>
        <w:t>12、呼唤按钮：不锈钢按钮。</w:t>
      </w:r>
    </w:p>
    <w:p w14:paraId="43F54BA7">
      <w:pPr>
        <w:spacing w:line="360" w:lineRule="auto"/>
        <w:ind w:firstLine="440" w:firstLineChars="200"/>
        <w:rPr>
          <w:rFonts w:hint="eastAsia" w:ascii="宋体" w:hAnsi="宋体"/>
          <w:sz w:val="24"/>
          <w:szCs w:val="24"/>
        </w:rPr>
      </w:pPr>
      <w:r>
        <w:rPr>
          <w:rFonts w:hint="eastAsia" w:ascii="宋体" w:hAnsi="宋体"/>
        </w:rPr>
        <w:t>13、开门尺寸：</w:t>
      </w:r>
      <w:r>
        <w:rPr>
          <w:rFonts w:hint="eastAsia" w:ascii="宋体" w:hAnsi="宋体"/>
          <w:sz w:val="24"/>
          <w:szCs w:val="24"/>
        </w:rPr>
        <w:t>开门尺寸：病床梯（旁开门，净宽*净深=1300mm*2100mm），无机房客梯（中分门，净宽*净深=900mm*2100mm）。</w:t>
      </w:r>
    </w:p>
    <w:p w14:paraId="51E6A62B">
      <w:pPr>
        <w:widowControl/>
        <w:spacing w:line="360" w:lineRule="auto"/>
        <w:ind w:firstLine="360" w:firstLineChars="150"/>
        <w:jc w:val="left"/>
        <w:rPr>
          <w:rFonts w:hint="eastAsia" w:ascii="宋体" w:hAnsi="宋体"/>
          <w:sz w:val="24"/>
          <w:szCs w:val="24"/>
        </w:rPr>
      </w:pPr>
      <w:r>
        <w:rPr>
          <w:rFonts w:hint="eastAsia" w:ascii="宋体" w:hAnsi="宋体"/>
          <w:sz w:val="24"/>
          <w:szCs w:val="24"/>
        </w:rPr>
        <w:t>14、无障碍电梯功能：轿厢后壁不锈钢扶手；轿厢后壁中央镜面材质；残疾人操纵箱；盲文按钮；语音报站（普通话）。</w:t>
      </w:r>
    </w:p>
    <w:p w14:paraId="563BC5B3">
      <w:pPr>
        <w:widowControl/>
        <w:spacing w:line="360" w:lineRule="auto"/>
        <w:ind w:firstLine="330" w:firstLineChars="150"/>
        <w:jc w:val="left"/>
        <w:rPr>
          <w:rFonts w:hint="eastAsia" w:ascii="宋体" w:hAnsi="宋体"/>
        </w:rPr>
      </w:pPr>
      <w:r>
        <w:rPr>
          <w:rFonts w:hint="eastAsia" w:ascii="宋体" w:hAnsi="宋体"/>
        </w:rPr>
        <w:t>15、有机房配备机房空调（冷暖），满足验收要求。</w:t>
      </w:r>
    </w:p>
    <w:p w14:paraId="036A79CA">
      <w:pPr>
        <w:widowControl/>
        <w:spacing w:line="360" w:lineRule="auto"/>
        <w:ind w:firstLine="330" w:firstLineChars="150"/>
        <w:jc w:val="left"/>
        <w:rPr>
          <w:rFonts w:hint="eastAsia" w:ascii="宋体" w:hAnsi="宋体"/>
        </w:rPr>
      </w:pPr>
      <w:r>
        <w:rPr>
          <w:rFonts w:hint="eastAsia" w:ascii="宋体" w:hAnsi="宋体"/>
        </w:rPr>
        <w:t>16、配备无线五方对讲。</w:t>
      </w:r>
    </w:p>
    <w:p w14:paraId="21AB3CBC">
      <w:pPr>
        <w:widowControl/>
        <w:spacing w:line="360" w:lineRule="auto"/>
        <w:ind w:firstLine="330" w:firstLineChars="150"/>
        <w:jc w:val="left"/>
        <w:rPr>
          <w:rFonts w:hint="eastAsia" w:ascii="宋体" w:hAnsi="宋体"/>
        </w:rPr>
      </w:pPr>
      <w:r>
        <w:rPr>
          <w:rFonts w:hint="eastAsia" w:ascii="宋体" w:hAnsi="宋体"/>
        </w:rPr>
        <w:t>17、电梯配备不锈钢大门套。</w:t>
      </w:r>
      <w:r>
        <w:rPr>
          <w:rFonts w:hint="eastAsia" w:ascii="宋体" w:hAnsi="宋体"/>
        </w:rPr>
        <w:tab/>
      </w:r>
    </w:p>
    <w:p w14:paraId="597243BE">
      <w:pPr>
        <w:widowControl/>
        <w:spacing w:line="360" w:lineRule="auto"/>
        <w:ind w:firstLine="330" w:firstLineChars="150"/>
        <w:jc w:val="left"/>
        <w:rPr>
          <w:rFonts w:hint="eastAsia" w:ascii="宋体" w:hAnsi="宋体"/>
        </w:rPr>
      </w:pPr>
      <w:r>
        <w:rPr>
          <w:rFonts w:hint="eastAsia" w:ascii="宋体" w:hAnsi="宋体"/>
        </w:rPr>
        <w:t>1</w:t>
      </w:r>
      <w:r>
        <w:rPr>
          <w:rFonts w:hint="eastAsia" w:ascii="宋体" w:hAnsi="宋体"/>
          <w:sz w:val="24"/>
          <w:szCs w:val="24"/>
        </w:rPr>
        <w:t>8. 消防梯、普通电梯层门的耐火完整性不应低于2小时，提供满足消防验收要求的检测报告，费用中标人自理</w:t>
      </w:r>
    </w:p>
    <w:p w14:paraId="073B7121">
      <w:pPr>
        <w:tabs>
          <w:tab w:val="left" w:pos="4215"/>
        </w:tabs>
        <w:spacing w:line="480" w:lineRule="exact"/>
        <w:ind w:left="-2" w:leftChars="-1" w:firstLine="480" w:firstLineChars="200"/>
        <w:rPr>
          <w:rFonts w:hint="eastAsia" w:ascii="宋体" w:hAnsi="宋体"/>
          <w:sz w:val="24"/>
          <w:szCs w:val="24"/>
        </w:rPr>
      </w:pPr>
      <w:r>
        <w:rPr>
          <w:rFonts w:hint="eastAsia" w:ascii="宋体" w:hAnsi="宋体"/>
          <w:sz w:val="24"/>
          <w:szCs w:val="24"/>
        </w:rPr>
        <w:t xml:space="preserve"> </w:t>
      </w:r>
    </w:p>
    <w:p w14:paraId="73647256">
      <w:pPr>
        <w:spacing w:line="480" w:lineRule="exact"/>
        <w:rPr>
          <w:rFonts w:hint="eastAsia" w:ascii="宋体" w:hAnsi="宋体"/>
        </w:rPr>
      </w:pPr>
      <w:r>
        <w:rPr>
          <w:rFonts w:hint="eastAsia" w:ascii="宋体" w:hAnsi="宋体"/>
          <w:b/>
          <w:bCs/>
          <w:sz w:val="24"/>
          <w:szCs w:val="24"/>
        </w:rPr>
        <w:t>电梯功能要求</w:t>
      </w:r>
      <w:r>
        <w:rPr>
          <w:rFonts w:hint="eastAsia" w:ascii="宋体" w:hAnsi="宋体"/>
        </w:rPr>
        <w:t>：</w:t>
      </w:r>
    </w:p>
    <w:p w14:paraId="1D191DCD">
      <w:pPr>
        <w:rPr>
          <w:rFonts w:hint="eastAsia" w:ascii="宋体" w:hAnsi="宋体"/>
        </w:rPr>
      </w:pPr>
      <w:r>
        <w:rPr>
          <w:rFonts w:hint="eastAsia" w:ascii="宋体" w:hAnsi="宋体"/>
        </w:rPr>
        <w:t xml:space="preserve"> </w:t>
      </w:r>
    </w:p>
    <w:tbl>
      <w:tblPr>
        <w:tblStyle w:val="21"/>
        <w:tblW w:w="8976" w:type="dxa"/>
        <w:jc w:val="center"/>
        <w:tblLayout w:type="autofit"/>
        <w:tblCellMar>
          <w:top w:w="0" w:type="dxa"/>
          <w:left w:w="108" w:type="dxa"/>
          <w:bottom w:w="0" w:type="dxa"/>
          <w:right w:w="108" w:type="dxa"/>
        </w:tblCellMar>
      </w:tblPr>
      <w:tblGrid>
        <w:gridCol w:w="747"/>
        <w:gridCol w:w="2279"/>
        <w:gridCol w:w="5950"/>
      </w:tblGrid>
      <w:tr w14:paraId="51275603">
        <w:tblPrEx>
          <w:tblCellMar>
            <w:top w:w="0" w:type="dxa"/>
            <w:left w:w="108" w:type="dxa"/>
            <w:bottom w:w="0" w:type="dxa"/>
            <w:right w:w="108" w:type="dxa"/>
          </w:tblCellMar>
        </w:tblPrEx>
        <w:trPr>
          <w:trHeight w:val="280" w:hRule="atLeast"/>
          <w:jc w:val="center"/>
        </w:trPr>
        <w:tc>
          <w:tcPr>
            <w:tcW w:w="747" w:type="dxa"/>
            <w:tcBorders>
              <w:top w:val="single" w:color="auto" w:sz="4" w:space="0"/>
              <w:left w:val="single" w:color="auto" w:sz="8" w:space="0"/>
              <w:bottom w:val="single" w:color="auto" w:sz="4" w:space="0"/>
              <w:right w:val="single" w:color="auto" w:sz="4" w:space="0"/>
            </w:tcBorders>
            <w:noWrap/>
            <w:vAlign w:val="center"/>
          </w:tcPr>
          <w:p w14:paraId="567EC947">
            <w:pPr>
              <w:widowControl/>
              <w:jc w:val="center"/>
              <w:rPr>
                <w:rFonts w:ascii="宋体" w:hAnsi="宋体"/>
              </w:rPr>
            </w:pPr>
            <w:r>
              <w:rPr>
                <w:rFonts w:hint="eastAsia" w:ascii="宋体" w:hAnsi="宋体"/>
              </w:rPr>
              <w:t>序号</w:t>
            </w:r>
          </w:p>
        </w:tc>
        <w:tc>
          <w:tcPr>
            <w:tcW w:w="2279" w:type="dxa"/>
            <w:tcBorders>
              <w:top w:val="single" w:color="auto" w:sz="4" w:space="0"/>
              <w:left w:val="nil"/>
              <w:bottom w:val="single" w:color="auto" w:sz="4" w:space="0"/>
              <w:right w:val="single" w:color="auto" w:sz="4" w:space="0"/>
            </w:tcBorders>
            <w:vAlign w:val="center"/>
          </w:tcPr>
          <w:p w14:paraId="11919544">
            <w:pPr>
              <w:widowControl/>
              <w:jc w:val="center"/>
              <w:rPr>
                <w:rFonts w:ascii="宋体" w:hAnsi="宋体"/>
              </w:rPr>
            </w:pPr>
            <w:r>
              <w:rPr>
                <w:rFonts w:hint="eastAsia" w:ascii="宋体" w:hAnsi="宋体"/>
              </w:rPr>
              <w:t>名称</w:t>
            </w:r>
          </w:p>
        </w:tc>
        <w:tc>
          <w:tcPr>
            <w:tcW w:w="5950" w:type="dxa"/>
            <w:tcBorders>
              <w:top w:val="single" w:color="auto" w:sz="4" w:space="0"/>
              <w:left w:val="nil"/>
              <w:bottom w:val="single" w:color="auto" w:sz="4" w:space="0"/>
              <w:right w:val="single" w:color="auto" w:sz="4" w:space="0"/>
            </w:tcBorders>
            <w:vAlign w:val="center"/>
          </w:tcPr>
          <w:p w14:paraId="389CC7B2">
            <w:pPr>
              <w:widowControl/>
              <w:jc w:val="center"/>
              <w:rPr>
                <w:rFonts w:ascii="宋体" w:hAnsi="宋体"/>
              </w:rPr>
            </w:pPr>
            <w:r>
              <w:rPr>
                <w:rFonts w:hint="eastAsia" w:ascii="宋体" w:hAnsi="宋体"/>
              </w:rPr>
              <w:t>定义</w:t>
            </w:r>
          </w:p>
        </w:tc>
      </w:tr>
      <w:tr w14:paraId="199D9B7E">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37BE8644">
            <w:pPr>
              <w:widowControl/>
              <w:jc w:val="center"/>
              <w:rPr>
                <w:rFonts w:ascii="宋体" w:hAnsi="宋体"/>
              </w:rPr>
            </w:pPr>
            <w:r>
              <w:rPr>
                <w:rFonts w:hint="eastAsia" w:ascii="宋体" w:hAnsi="宋体"/>
              </w:rPr>
              <w:t>1</w:t>
            </w:r>
          </w:p>
        </w:tc>
        <w:tc>
          <w:tcPr>
            <w:tcW w:w="2279" w:type="dxa"/>
            <w:tcBorders>
              <w:top w:val="nil"/>
              <w:left w:val="nil"/>
              <w:bottom w:val="single" w:color="auto" w:sz="4" w:space="0"/>
              <w:right w:val="single" w:color="auto" w:sz="4" w:space="0"/>
            </w:tcBorders>
            <w:vAlign w:val="center"/>
          </w:tcPr>
          <w:p w14:paraId="49378251">
            <w:pPr>
              <w:widowControl/>
              <w:jc w:val="center"/>
              <w:rPr>
                <w:rFonts w:ascii="宋体" w:hAnsi="宋体"/>
              </w:rPr>
            </w:pPr>
            <w:r>
              <w:rPr>
                <w:rFonts w:hint="eastAsia" w:ascii="宋体" w:hAnsi="宋体"/>
              </w:rPr>
              <w:t>本层同向外呼再开门</w:t>
            </w:r>
          </w:p>
        </w:tc>
        <w:tc>
          <w:tcPr>
            <w:tcW w:w="5950" w:type="dxa"/>
            <w:tcBorders>
              <w:top w:val="nil"/>
              <w:left w:val="nil"/>
              <w:bottom w:val="single" w:color="auto" w:sz="4" w:space="0"/>
              <w:right w:val="single" w:color="auto" w:sz="4" w:space="0"/>
            </w:tcBorders>
            <w:vAlign w:val="center"/>
          </w:tcPr>
          <w:p w14:paraId="0F726889">
            <w:pPr>
              <w:widowControl/>
              <w:jc w:val="center"/>
              <w:rPr>
                <w:rFonts w:ascii="宋体" w:hAnsi="宋体"/>
              </w:rPr>
            </w:pPr>
            <w:r>
              <w:rPr>
                <w:rFonts w:hint="eastAsia" w:ascii="宋体" w:hAnsi="宋体"/>
              </w:rPr>
              <w:t>当电梯门未完全关闭时，本层厅外同向外呼按钮被按动，电梯门重新打开</w:t>
            </w:r>
          </w:p>
        </w:tc>
      </w:tr>
      <w:tr w14:paraId="3390DAB1">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31612A64">
            <w:pPr>
              <w:widowControl/>
              <w:jc w:val="center"/>
              <w:rPr>
                <w:rFonts w:ascii="宋体" w:hAnsi="宋体"/>
              </w:rPr>
            </w:pPr>
            <w:r>
              <w:rPr>
                <w:rFonts w:hint="eastAsia" w:ascii="宋体" w:hAnsi="宋体"/>
              </w:rPr>
              <w:t>2</w:t>
            </w:r>
          </w:p>
        </w:tc>
        <w:tc>
          <w:tcPr>
            <w:tcW w:w="2279" w:type="dxa"/>
            <w:tcBorders>
              <w:top w:val="nil"/>
              <w:left w:val="nil"/>
              <w:bottom w:val="single" w:color="auto" w:sz="4" w:space="0"/>
              <w:right w:val="single" w:color="auto" w:sz="4" w:space="0"/>
            </w:tcBorders>
            <w:vAlign w:val="center"/>
          </w:tcPr>
          <w:p w14:paraId="135ED6A5">
            <w:pPr>
              <w:widowControl/>
              <w:jc w:val="center"/>
              <w:rPr>
                <w:rFonts w:ascii="宋体" w:hAnsi="宋体"/>
              </w:rPr>
            </w:pPr>
            <w:r>
              <w:rPr>
                <w:rFonts w:hint="eastAsia" w:ascii="宋体" w:hAnsi="宋体"/>
              </w:rPr>
              <w:t>集选控制</w:t>
            </w:r>
          </w:p>
        </w:tc>
        <w:tc>
          <w:tcPr>
            <w:tcW w:w="5950" w:type="dxa"/>
            <w:tcBorders>
              <w:top w:val="nil"/>
              <w:left w:val="nil"/>
              <w:bottom w:val="single" w:color="auto" w:sz="4" w:space="0"/>
              <w:right w:val="single" w:color="auto" w:sz="4" w:space="0"/>
            </w:tcBorders>
            <w:vAlign w:val="center"/>
          </w:tcPr>
          <w:p w14:paraId="69DAB9F8">
            <w:pPr>
              <w:widowControl/>
              <w:jc w:val="center"/>
              <w:rPr>
                <w:rFonts w:ascii="宋体" w:hAnsi="宋体"/>
              </w:rPr>
            </w:pPr>
            <w:r>
              <w:rPr>
                <w:rFonts w:hint="eastAsia" w:ascii="宋体" w:hAnsi="宋体"/>
              </w:rPr>
              <w:t>信号处理的基础上把召唤信号集合起来进行选择的应答。基于各层站的上行和下行外呼的呼叫信号集合处理</w:t>
            </w:r>
          </w:p>
        </w:tc>
      </w:tr>
      <w:tr w14:paraId="23C72364">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3F27309D">
            <w:pPr>
              <w:widowControl/>
              <w:jc w:val="center"/>
              <w:rPr>
                <w:rFonts w:ascii="宋体" w:hAnsi="宋体"/>
              </w:rPr>
            </w:pPr>
            <w:r>
              <w:rPr>
                <w:rFonts w:hint="eastAsia" w:ascii="宋体" w:hAnsi="宋体"/>
              </w:rPr>
              <w:t>3</w:t>
            </w:r>
          </w:p>
        </w:tc>
        <w:tc>
          <w:tcPr>
            <w:tcW w:w="2279" w:type="dxa"/>
            <w:tcBorders>
              <w:top w:val="nil"/>
              <w:left w:val="nil"/>
              <w:bottom w:val="single" w:color="auto" w:sz="4" w:space="0"/>
              <w:right w:val="single" w:color="auto" w:sz="4" w:space="0"/>
            </w:tcBorders>
            <w:vAlign w:val="center"/>
          </w:tcPr>
          <w:p w14:paraId="57A90283">
            <w:pPr>
              <w:widowControl/>
              <w:jc w:val="center"/>
              <w:rPr>
                <w:rFonts w:ascii="宋体" w:hAnsi="宋体"/>
              </w:rPr>
            </w:pPr>
            <w:r>
              <w:rPr>
                <w:rFonts w:hint="eastAsia" w:ascii="宋体" w:hAnsi="宋体"/>
              </w:rPr>
              <w:t>满载直驶</w:t>
            </w:r>
          </w:p>
        </w:tc>
        <w:tc>
          <w:tcPr>
            <w:tcW w:w="5950" w:type="dxa"/>
            <w:tcBorders>
              <w:top w:val="nil"/>
              <w:left w:val="nil"/>
              <w:bottom w:val="single" w:color="auto" w:sz="4" w:space="0"/>
              <w:right w:val="single" w:color="auto" w:sz="4" w:space="0"/>
            </w:tcBorders>
            <w:vAlign w:val="center"/>
          </w:tcPr>
          <w:p w14:paraId="214F75D1">
            <w:pPr>
              <w:widowControl/>
              <w:jc w:val="center"/>
              <w:rPr>
                <w:rFonts w:ascii="宋体" w:hAnsi="宋体"/>
              </w:rPr>
            </w:pPr>
            <w:r>
              <w:rPr>
                <w:rFonts w:hint="eastAsia" w:ascii="宋体" w:hAnsi="宋体"/>
              </w:rPr>
              <w:t>当轿厢内载荷达到满载预设值时，即进入满载直驶状态。电梯将不再应答厅外召唤而直接相应轿内指令直达指定楼层</w:t>
            </w:r>
          </w:p>
        </w:tc>
      </w:tr>
      <w:tr w14:paraId="251DF422">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0FA2DC6C">
            <w:pPr>
              <w:widowControl/>
              <w:jc w:val="center"/>
              <w:rPr>
                <w:rFonts w:ascii="宋体" w:hAnsi="宋体"/>
              </w:rPr>
            </w:pPr>
            <w:r>
              <w:rPr>
                <w:rFonts w:hint="eastAsia" w:ascii="宋体" w:hAnsi="宋体"/>
              </w:rPr>
              <w:t>4</w:t>
            </w:r>
          </w:p>
        </w:tc>
        <w:tc>
          <w:tcPr>
            <w:tcW w:w="2279" w:type="dxa"/>
            <w:tcBorders>
              <w:top w:val="nil"/>
              <w:left w:val="nil"/>
              <w:bottom w:val="single" w:color="auto" w:sz="4" w:space="0"/>
              <w:right w:val="single" w:color="auto" w:sz="4" w:space="0"/>
            </w:tcBorders>
            <w:vAlign w:val="center"/>
          </w:tcPr>
          <w:p w14:paraId="7E290DA6">
            <w:pPr>
              <w:widowControl/>
              <w:jc w:val="center"/>
              <w:rPr>
                <w:rFonts w:ascii="宋体" w:hAnsi="宋体"/>
              </w:rPr>
            </w:pPr>
            <w:r>
              <w:rPr>
                <w:rFonts w:hint="eastAsia" w:ascii="宋体" w:hAnsi="宋体"/>
              </w:rPr>
              <w:t>厅门未开则自动开往下一层</w:t>
            </w:r>
          </w:p>
        </w:tc>
        <w:tc>
          <w:tcPr>
            <w:tcW w:w="5950" w:type="dxa"/>
            <w:tcBorders>
              <w:top w:val="nil"/>
              <w:left w:val="nil"/>
              <w:bottom w:val="single" w:color="auto" w:sz="4" w:space="0"/>
              <w:right w:val="single" w:color="auto" w:sz="4" w:space="0"/>
            </w:tcBorders>
            <w:vAlign w:val="center"/>
          </w:tcPr>
          <w:p w14:paraId="7BF8907A">
            <w:pPr>
              <w:widowControl/>
              <w:jc w:val="center"/>
              <w:rPr>
                <w:rFonts w:ascii="宋体" w:hAnsi="宋体"/>
              </w:rPr>
            </w:pPr>
            <w:r>
              <w:rPr>
                <w:rFonts w:hint="eastAsia" w:ascii="宋体" w:hAnsi="宋体"/>
              </w:rPr>
              <w:t>当需平层的厅门经多次试开门时未能实现时，电梯会自动开往下一层</w:t>
            </w:r>
          </w:p>
        </w:tc>
      </w:tr>
      <w:tr w14:paraId="5BFB07EF">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24DDE52F">
            <w:pPr>
              <w:widowControl/>
              <w:jc w:val="center"/>
              <w:rPr>
                <w:rFonts w:ascii="宋体" w:hAnsi="宋体"/>
              </w:rPr>
            </w:pPr>
            <w:r>
              <w:rPr>
                <w:rFonts w:hint="eastAsia" w:ascii="宋体" w:hAnsi="宋体"/>
              </w:rPr>
              <w:t>5</w:t>
            </w:r>
          </w:p>
        </w:tc>
        <w:tc>
          <w:tcPr>
            <w:tcW w:w="2279" w:type="dxa"/>
            <w:tcBorders>
              <w:top w:val="nil"/>
              <w:left w:val="nil"/>
              <w:bottom w:val="single" w:color="auto" w:sz="4" w:space="0"/>
              <w:right w:val="single" w:color="auto" w:sz="4" w:space="0"/>
            </w:tcBorders>
            <w:vAlign w:val="center"/>
          </w:tcPr>
          <w:p w14:paraId="3ADE48F8">
            <w:pPr>
              <w:widowControl/>
              <w:jc w:val="center"/>
              <w:rPr>
                <w:rFonts w:ascii="宋体" w:hAnsi="宋体"/>
              </w:rPr>
            </w:pPr>
            <w:r>
              <w:rPr>
                <w:rFonts w:hint="eastAsia" w:ascii="宋体" w:hAnsi="宋体"/>
              </w:rPr>
              <w:t>防捣乱功能</w:t>
            </w:r>
          </w:p>
        </w:tc>
        <w:tc>
          <w:tcPr>
            <w:tcW w:w="5950" w:type="dxa"/>
            <w:tcBorders>
              <w:top w:val="nil"/>
              <w:left w:val="nil"/>
              <w:bottom w:val="single" w:color="auto" w:sz="4" w:space="0"/>
              <w:right w:val="single" w:color="auto" w:sz="4" w:space="0"/>
            </w:tcBorders>
            <w:vAlign w:val="center"/>
          </w:tcPr>
          <w:p w14:paraId="5495F7C8">
            <w:pPr>
              <w:widowControl/>
              <w:jc w:val="center"/>
              <w:rPr>
                <w:rFonts w:ascii="宋体" w:hAnsi="宋体"/>
              </w:rPr>
            </w:pPr>
            <w:r>
              <w:rPr>
                <w:rFonts w:hint="eastAsia" w:ascii="宋体" w:hAnsi="宋体"/>
              </w:rPr>
              <w:t>（空载时，内湖登记限制）未避免空梯运行，电脑通过对载重进行逻辑判断，限制内呼登记数量。空载时，轿厢剩余内呼指令数量不能超过3个，否则会自动被取消</w:t>
            </w:r>
          </w:p>
        </w:tc>
      </w:tr>
      <w:tr w14:paraId="6C7BA7E7">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7C0FF24C">
            <w:pPr>
              <w:widowControl/>
              <w:jc w:val="center"/>
              <w:rPr>
                <w:rFonts w:ascii="宋体" w:hAnsi="宋体"/>
              </w:rPr>
            </w:pPr>
            <w:r>
              <w:rPr>
                <w:rFonts w:hint="eastAsia" w:ascii="宋体" w:hAnsi="宋体"/>
              </w:rPr>
              <w:t>6</w:t>
            </w:r>
          </w:p>
        </w:tc>
        <w:tc>
          <w:tcPr>
            <w:tcW w:w="2279" w:type="dxa"/>
            <w:tcBorders>
              <w:top w:val="nil"/>
              <w:left w:val="nil"/>
              <w:bottom w:val="single" w:color="auto" w:sz="4" w:space="0"/>
              <w:right w:val="single" w:color="auto" w:sz="4" w:space="0"/>
            </w:tcBorders>
            <w:vAlign w:val="center"/>
          </w:tcPr>
          <w:p w14:paraId="4B25F57F">
            <w:pPr>
              <w:widowControl/>
              <w:jc w:val="center"/>
              <w:rPr>
                <w:rFonts w:ascii="宋体" w:hAnsi="宋体"/>
              </w:rPr>
            </w:pPr>
            <w:r>
              <w:rPr>
                <w:rFonts w:hint="eastAsia" w:ascii="宋体" w:hAnsi="宋体"/>
              </w:rPr>
              <w:t>防捣乱功能（端站听层取消内呼）</w:t>
            </w:r>
          </w:p>
        </w:tc>
        <w:tc>
          <w:tcPr>
            <w:tcW w:w="5950" w:type="dxa"/>
            <w:tcBorders>
              <w:top w:val="nil"/>
              <w:left w:val="nil"/>
              <w:bottom w:val="single" w:color="auto" w:sz="4" w:space="0"/>
              <w:right w:val="single" w:color="auto" w:sz="4" w:space="0"/>
            </w:tcBorders>
            <w:vAlign w:val="center"/>
          </w:tcPr>
          <w:p w14:paraId="649BAD45">
            <w:pPr>
              <w:widowControl/>
              <w:jc w:val="center"/>
              <w:rPr>
                <w:rFonts w:ascii="宋体" w:hAnsi="宋体"/>
              </w:rPr>
            </w:pPr>
            <w:r>
              <w:rPr>
                <w:rFonts w:hint="eastAsia" w:ascii="宋体" w:hAnsi="宋体"/>
              </w:rPr>
              <w:t>当电梯运行到上下终端站时，会取消所有的轿内呼叫指令</w:t>
            </w:r>
          </w:p>
        </w:tc>
      </w:tr>
      <w:tr w14:paraId="3A538337">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032F36BE">
            <w:pPr>
              <w:widowControl/>
              <w:jc w:val="center"/>
              <w:rPr>
                <w:rFonts w:ascii="宋体" w:hAnsi="宋体"/>
              </w:rPr>
            </w:pPr>
            <w:r>
              <w:rPr>
                <w:rFonts w:hint="eastAsia" w:ascii="宋体" w:hAnsi="宋体"/>
              </w:rPr>
              <w:t>7</w:t>
            </w:r>
          </w:p>
        </w:tc>
        <w:tc>
          <w:tcPr>
            <w:tcW w:w="2279" w:type="dxa"/>
            <w:tcBorders>
              <w:top w:val="nil"/>
              <w:left w:val="nil"/>
              <w:bottom w:val="single" w:color="auto" w:sz="4" w:space="0"/>
              <w:right w:val="single" w:color="auto" w:sz="4" w:space="0"/>
            </w:tcBorders>
            <w:vAlign w:val="center"/>
          </w:tcPr>
          <w:p w14:paraId="52F64D1A">
            <w:pPr>
              <w:widowControl/>
              <w:jc w:val="center"/>
              <w:rPr>
                <w:rFonts w:ascii="宋体" w:hAnsi="宋体"/>
              </w:rPr>
            </w:pPr>
            <w:r>
              <w:rPr>
                <w:rFonts w:hint="eastAsia" w:ascii="宋体" w:hAnsi="宋体"/>
              </w:rPr>
              <w:t>防捣乱功能（反向内呼自动取消）</w:t>
            </w:r>
          </w:p>
        </w:tc>
        <w:tc>
          <w:tcPr>
            <w:tcW w:w="5950" w:type="dxa"/>
            <w:tcBorders>
              <w:top w:val="nil"/>
              <w:left w:val="nil"/>
              <w:bottom w:val="single" w:color="auto" w:sz="4" w:space="0"/>
              <w:right w:val="single" w:color="auto" w:sz="4" w:space="0"/>
            </w:tcBorders>
            <w:vAlign w:val="center"/>
          </w:tcPr>
          <w:p w14:paraId="2C68D525">
            <w:pPr>
              <w:widowControl/>
              <w:jc w:val="center"/>
              <w:rPr>
                <w:rFonts w:ascii="宋体" w:hAnsi="宋体"/>
              </w:rPr>
            </w:pPr>
            <w:r>
              <w:rPr>
                <w:rFonts w:hint="eastAsia" w:ascii="宋体" w:hAnsi="宋体"/>
              </w:rPr>
              <w:t>电梯运行至某一层时（非端站），无其他当前运行方向相同的内呼或外呼召唤信号时，电梯停梯，自动取消所有反向内呼信号，反向运行需重新登记呼叫</w:t>
            </w:r>
          </w:p>
        </w:tc>
      </w:tr>
      <w:tr w14:paraId="1905D3F8">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6711D89C">
            <w:pPr>
              <w:widowControl/>
              <w:jc w:val="center"/>
              <w:rPr>
                <w:rFonts w:ascii="宋体" w:hAnsi="宋体"/>
              </w:rPr>
            </w:pPr>
            <w:r>
              <w:rPr>
                <w:rFonts w:hint="eastAsia" w:ascii="宋体" w:hAnsi="宋体"/>
              </w:rPr>
              <w:t>8</w:t>
            </w:r>
          </w:p>
        </w:tc>
        <w:tc>
          <w:tcPr>
            <w:tcW w:w="2279" w:type="dxa"/>
            <w:tcBorders>
              <w:top w:val="nil"/>
              <w:left w:val="nil"/>
              <w:bottom w:val="single" w:color="auto" w:sz="4" w:space="0"/>
              <w:right w:val="single" w:color="auto" w:sz="4" w:space="0"/>
            </w:tcBorders>
            <w:vAlign w:val="center"/>
          </w:tcPr>
          <w:p w14:paraId="288C7344">
            <w:pPr>
              <w:widowControl/>
              <w:jc w:val="center"/>
              <w:rPr>
                <w:rFonts w:ascii="宋体" w:hAnsi="宋体"/>
              </w:rPr>
            </w:pPr>
            <w:r>
              <w:rPr>
                <w:rFonts w:hint="eastAsia" w:ascii="宋体" w:hAnsi="宋体"/>
              </w:rPr>
              <w:t>基站开门等待时间可调</w:t>
            </w:r>
          </w:p>
        </w:tc>
        <w:tc>
          <w:tcPr>
            <w:tcW w:w="5950" w:type="dxa"/>
            <w:tcBorders>
              <w:top w:val="nil"/>
              <w:left w:val="nil"/>
              <w:bottom w:val="single" w:color="auto" w:sz="4" w:space="0"/>
              <w:right w:val="single" w:color="auto" w:sz="4" w:space="0"/>
            </w:tcBorders>
            <w:vAlign w:val="center"/>
          </w:tcPr>
          <w:p w14:paraId="200B543F">
            <w:pPr>
              <w:widowControl/>
              <w:jc w:val="center"/>
              <w:rPr>
                <w:rFonts w:ascii="宋体" w:hAnsi="宋体"/>
              </w:rPr>
            </w:pPr>
            <w:r>
              <w:rPr>
                <w:rFonts w:hint="eastAsia" w:ascii="宋体" w:hAnsi="宋体"/>
              </w:rPr>
              <w:t>为基站所在楼层分配较长的开门等待时间，电梯控制系统默认开门等待时间是8秒，基站开门时间可调整范围是0-63秒，通过特殊设备调整</w:t>
            </w:r>
          </w:p>
        </w:tc>
      </w:tr>
      <w:tr w14:paraId="4A816B78">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6A825FDE">
            <w:pPr>
              <w:widowControl/>
              <w:jc w:val="center"/>
              <w:rPr>
                <w:rFonts w:ascii="宋体" w:hAnsi="宋体"/>
              </w:rPr>
            </w:pPr>
            <w:r>
              <w:rPr>
                <w:rFonts w:hint="eastAsia" w:ascii="宋体" w:hAnsi="宋体"/>
              </w:rPr>
              <w:t>9</w:t>
            </w:r>
          </w:p>
        </w:tc>
        <w:tc>
          <w:tcPr>
            <w:tcW w:w="2279" w:type="dxa"/>
            <w:tcBorders>
              <w:top w:val="nil"/>
              <w:left w:val="nil"/>
              <w:bottom w:val="single" w:color="auto" w:sz="4" w:space="0"/>
              <w:right w:val="single" w:color="auto" w:sz="4" w:space="0"/>
            </w:tcBorders>
            <w:vAlign w:val="center"/>
          </w:tcPr>
          <w:p w14:paraId="2E1CBAEB">
            <w:pPr>
              <w:widowControl/>
              <w:jc w:val="center"/>
              <w:rPr>
                <w:rFonts w:ascii="宋体" w:hAnsi="宋体"/>
              </w:rPr>
            </w:pPr>
            <w:r>
              <w:rPr>
                <w:rFonts w:hint="eastAsia" w:ascii="宋体" w:hAnsi="宋体"/>
              </w:rPr>
              <w:t>门机速度及力矩可调</w:t>
            </w:r>
          </w:p>
        </w:tc>
        <w:tc>
          <w:tcPr>
            <w:tcW w:w="5950" w:type="dxa"/>
            <w:tcBorders>
              <w:top w:val="nil"/>
              <w:left w:val="nil"/>
              <w:bottom w:val="single" w:color="auto" w:sz="4" w:space="0"/>
              <w:right w:val="single" w:color="auto" w:sz="4" w:space="0"/>
            </w:tcBorders>
            <w:vAlign w:val="center"/>
          </w:tcPr>
          <w:p w14:paraId="34C8E24F">
            <w:pPr>
              <w:widowControl/>
              <w:jc w:val="center"/>
              <w:rPr>
                <w:rFonts w:ascii="宋体" w:hAnsi="宋体"/>
              </w:rPr>
            </w:pPr>
            <w:r>
              <w:rPr>
                <w:rFonts w:hint="eastAsia" w:ascii="宋体" w:hAnsi="宋体"/>
              </w:rPr>
              <w:t>门机配有控制器，通过控制器，可调整门机 的运行速度和力矩，以适应不同形式的电梯门，使电梯门工作与最佳状态</w:t>
            </w:r>
          </w:p>
        </w:tc>
      </w:tr>
      <w:tr w14:paraId="7566EE99">
        <w:tblPrEx>
          <w:tblCellMar>
            <w:top w:w="0" w:type="dxa"/>
            <w:left w:w="108" w:type="dxa"/>
            <w:bottom w:w="0" w:type="dxa"/>
            <w:right w:w="108" w:type="dxa"/>
          </w:tblCellMar>
        </w:tblPrEx>
        <w:trPr>
          <w:trHeight w:val="1120" w:hRule="atLeast"/>
          <w:jc w:val="center"/>
        </w:trPr>
        <w:tc>
          <w:tcPr>
            <w:tcW w:w="747" w:type="dxa"/>
            <w:tcBorders>
              <w:top w:val="nil"/>
              <w:left w:val="single" w:color="auto" w:sz="8" w:space="0"/>
              <w:bottom w:val="single" w:color="auto" w:sz="4" w:space="0"/>
              <w:right w:val="single" w:color="auto" w:sz="4" w:space="0"/>
            </w:tcBorders>
            <w:noWrap/>
            <w:vAlign w:val="center"/>
          </w:tcPr>
          <w:p w14:paraId="03CF5126">
            <w:pPr>
              <w:widowControl/>
              <w:jc w:val="center"/>
              <w:rPr>
                <w:rFonts w:ascii="宋体" w:hAnsi="宋体"/>
              </w:rPr>
            </w:pPr>
            <w:r>
              <w:rPr>
                <w:rFonts w:hint="eastAsia" w:ascii="宋体" w:hAnsi="宋体"/>
              </w:rPr>
              <w:t>10</w:t>
            </w:r>
          </w:p>
        </w:tc>
        <w:tc>
          <w:tcPr>
            <w:tcW w:w="2279" w:type="dxa"/>
            <w:tcBorders>
              <w:top w:val="nil"/>
              <w:left w:val="nil"/>
              <w:bottom w:val="single" w:color="auto" w:sz="4" w:space="0"/>
              <w:right w:val="single" w:color="auto" w:sz="4" w:space="0"/>
            </w:tcBorders>
            <w:vAlign w:val="center"/>
          </w:tcPr>
          <w:p w14:paraId="1A7EBC65">
            <w:pPr>
              <w:widowControl/>
              <w:jc w:val="center"/>
              <w:rPr>
                <w:rFonts w:ascii="宋体" w:hAnsi="宋体"/>
              </w:rPr>
            </w:pPr>
            <w:r>
              <w:rPr>
                <w:rFonts w:hint="eastAsia" w:ascii="宋体" w:hAnsi="宋体"/>
              </w:rPr>
              <w:t>再平层</w:t>
            </w:r>
          </w:p>
        </w:tc>
        <w:tc>
          <w:tcPr>
            <w:tcW w:w="5950" w:type="dxa"/>
            <w:tcBorders>
              <w:top w:val="nil"/>
              <w:left w:val="nil"/>
              <w:bottom w:val="single" w:color="auto" w:sz="4" w:space="0"/>
              <w:right w:val="single" w:color="auto" w:sz="4" w:space="0"/>
            </w:tcBorders>
            <w:vAlign w:val="center"/>
          </w:tcPr>
          <w:p w14:paraId="3EBA420C">
            <w:pPr>
              <w:widowControl/>
              <w:jc w:val="center"/>
              <w:rPr>
                <w:rFonts w:ascii="宋体" w:hAnsi="宋体"/>
              </w:rPr>
            </w:pPr>
            <w:r>
              <w:rPr>
                <w:rFonts w:hint="eastAsia" w:ascii="宋体" w:hAnsi="宋体"/>
              </w:rPr>
              <w:t>轿厢到站停靠后，当由于进出乘客等原因引起轿厢负载变化，使轿厢地坎上平面与层门地坎上平面之间 垂直方向的偏差超过预定值时，电梯自动平层，使轿厢回到准确停层位置</w:t>
            </w:r>
          </w:p>
        </w:tc>
      </w:tr>
      <w:tr w14:paraId="04933965">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4B4CE393">
            <w:pPr>
              <w:widowControl/>
              <w:jc w:val="center"/>
              <w:rPr>
                <w:rFonts w:ascii="宋体" w:hAnsi="宋体"/>
              </w:rPr>
            </w:pPr>
            <w:r>
              <w:rPr>
                <w:rFonts w:hint="eastAsia" w:ascii="宋体" w:hAnsi="宋体"/>
              </w:rPr>
              <w:t>11</w:t>
            </w:r>
          </w:p>
        </w:tc>
        <w:tc>
          <w:tcPr>
            <w:tcW w:w="2279" w:type="dxa"/>
            <w:tcBorders>
              <w:top w:val="nil"/>
              <w:left w:val="nil"/>
              <w:bottom w:val="single" w:color="auto" w:sz="4" w:space="0"/>
              <w:right w:val="single" w:color="auto" w:sz="4" w:space="0"/>
            </w:tcBorders>
            <w:vAlign w:val="center"/>
          </w:tcPr>
          <w:p w14:paraId="2F723725">
            <w:pPr>
              <w:widowControl/>
              <w:jc w:val="center"/>
              <w:rPr>
                <w:rFonts w:ascii="宋体" w:hAnsi="宋体"/>
              </w:rPr>
            </w:pPr>
            <w:r>
              <w:rPr>
                <w:rFonts w:hint="eastAsia" w:ascii="宋体" w:hAnsi="宋体"/>
              </w:rPr>
              <w:t>轿厢照明，风扇节能运行功能</w:t>
            </w:r>
          </w:p>
        </w:tc>
        <w:tc>
          <w:tcPr>
            <w:tcW w:w="5950" w:type="dxa"/>
            <w:tcBorders>
              <w:top w:val="nil"/>
              <w:left w:val="nil"/>
              <w:bottom w:val="single" w:color="auto" w:sz="4" w:space="0"/>
              <w:right w:val="single" w:color="auto" w:sz="4" w:space="0"/>
            </w:tcBorders>
            <w:vAlign w:val="center"/>
          </w:tcPr>
          <w:p w14:paraId="362B2DF0">
            <w:pPr>
              <w:widowControl/>
              <w:jc w:val="center"/>
              <w:rPr>
                <w:rFonts w:ascii="宋体" w:hAnsi="宋体"/>
              </w:rPr>
            </w:pPr>
            <w:r>
              <w:rPr>
                <w:rFonts w:hint="eastAsia" w:ascii="宋体" w:hAnsi="宋体"/>
              </w:rPr>
              <w:t>在没有接到任何操作指令的情况下，电梯在关门一段时间后，进入节能模式，自动关闭轿厢风扇</w:t>
            </w:r>
          </w:p>
        </w:tc>
      </w:tr>
      <w:tr w14:paraId="7DBB0291">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07F5B1E9">
            <w:pPr>
              <w:widowControl/>
              <w:jc w:val="center"/>
              <w:rPr>
                <w:rFonts w:ascii="宋体" w:hAnsi="宋体"/>
              </w:rPr>
            </w:pPr>
            <w:r>
              <w:rPr>
                <w:rFonts w:hint="eastAsia" w:ascii="宋体" w:hAnsi="宋体"/>
              </w:rPr>
              <w:t>12</w:t>
            </w:r>
          </w:p>
        </w:tc>
        <w:tc>
          <w:tcPr>
            <w:tcW w:w="2279" w:type="dxa"/>
            <w:tcBorders>
              <w:top w:val="nil"/>
              <w:left w:val="nil"/>
              <w:bottom w:val="single" w:color="auto" w:sz="4" w:space="0"/>
              <w:right w:val="single" w:color="auto" w:sz="4" w:space="0"/>
            </w:tcBorders>
            <w:vAlign w:val="center"/>
          </w:tcPr>
          <w:p w14:paraId="52293780">
            <w:pPr>
              <w:widowControl/>
              <w:jc w:val="center"/>
              <w:rPr>
                <w:rFonts w:ascii="宋体" w:hAnsi="宋体"/>
              </w:rPr>
            </w:pPr>
            <w:r>
              <w:rPr>
                <w:rFonts w:hint="eastAsia" w:ascii="宋体" w:hAnsi="宋体"/>
              </w:rPr>
              <w:t>启动补偿功能</w:t>
            </w:r>
          </w:p>
        </w:tc>
        <w:tc>
          <w:tcPr>
            <w:tcW w:w="5950" w:type="dxa"/>
            <w:tcBorders>
              <w:top w:val="nil"/>
              <w:left w:val="nil"/>
              <w:bottom w:val="single" w:color="auto" w:sz="4" w:space="0"/>
              <w:right w:val="single" w:color="auto" w:sz="4" w:space="0"/>
            </w:tcBorders>
            <w:vAlign w:val="center"/>
          </w:tcPr>
          <w:p w14:paraId="0FD0AC86">
            <w:pPr>
              <w:widowControl/>
              <w:jc w:val="center"/>
              <w:rPr>
                <w:rFonts w:ascii="宋体" w:hAnsi="宋体"/>
              </w:rPr>
            </w:pPr>
            <w:r>
              <w:rPr>
                <w:rFonts w:hint="eastAsia" w:ascii="宋体" w:hAnsi="宋体"/>
              </w:rPr>
              <w:t>在电梯启动时根据实际载重进行力矩补偿，从而保证电梯在不同负载下都有较好的启动舒适感</w:t>
            </w:r>
          </w:p>
        </w:tc>
      </w:tr>
      <w:tr w14:paraId="4B01E534">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5D7E8F6E">
            <w:pPr>
              <w:widowControl/>
              <w:jc w:val="center"/>
              <w:rPr>
                <w:rFonts w:ascii="宋体" w:hAnsi="宋体"/>
              </w:rPr>
            </w:pPr>
            <w:r>
              <w:rPr>
                <w:rFonts w:hint="eastAsia" w:ascii="宋体" w:hAnsi="宋体"/>
              </w:rPr>
              <w:t>13</w:t>
            </w:r>
          </w:p>
        </w:tc>
        <w:tc>
          <w:tcPr>
            <w:tcW w:w="2279" w:type="dxa"/>
            <w:tcBorders>
              <w:top w:val="nil"/>
              <w:left w:val="nil"/>
              <w:bottom w:val="single" w:color="auto" w:sz="4" w:space="0"/>
              <w:right w:val="single" w:color="auto" w:sz="4" w:space="0"/>
            </w:tcBorders>
            <w:vAlign w:val="center"/>
          </w:tcPr>
          <w:p w14:paraId="0894A315">
            <w:pPr>
              <w:widowControl/>
              <w:jc w:val="center"/>
              <w:rPr>
                <w:rFonts w:ascii="宋体" w:hAnsi="宋体"/>
              </w:rPr>
            </w:pPr>
            <w:r>
              <w:rPr>
                <w:rFonts w:hint="eastAsia" w:ascii="宋体" w:hAnsi="宋体"/>
              </w:rPr>
              <w:t>井道自学习</w:t>
            </w:r>
          </w:p>
        </w:tc>
        <w:tc>
          <w:tcPr>
            <w:tcW w:w="5950" w:type="dxa"/>
            <w:tcBorders>
              <w:top w:val="nil"/>
              <w:left w:val="nil"/>
              <w:bottom w:val="single" w:color="auto" w:sz="4" w:space="0"/>
              <w:right w:val="single" w:color="auto" w:sz="4" w:space="0"/>
            </w:tcBorders>
            <w:vAlign w:val="center"/>
          </w:tcPr>
          <w:p w14:paraId="24006907">
            <w:pPr>
              <w:widowControl/>
              <w:jc w:val="center"/>
              <w:rPr>
                <w:rFonts w:ascii="宋体" w:hAnsi="宋体"/>
              </w:rPr>
            </w:pPr>
            <w:r>
              <w:rPr>
                <w:rFonts w:hint="eastAsia" w:ascii="宋体" w:hAnsi="宋体"/>
              </w:rPr>
              <w:t>在电梯正式运行前，系统学习井道内各种数据，各楼层位置，层高，井道各开门位置，并永久保存</w:t>
            </w:r>
          </w:p>
        </w:tc>
      </w:tr>
      <w:tr w14:paraId="54297B56">
        <w:tblPrEx>
          <w:tblCellMar>
            <w:top w:w="0" w:type="dxa"/>
            <w:left w:w="108" w:type="dxa"/>
            <w:bottom w:w="0" w:type="dxa"/>
            <w:right w:w="108" w:type="dxa"/>
          </w:tblCellMar>
        </w:tblPrEx>
        <w:trPr>
          <w:trHeight w:val="280" w:hRule="atLeast"/>
          <w:jc w:val="center"/>
        </w:trPr>
        <w:tc>
          <w:tcPr>
            <w:tcW w:w="8976" w:type="dxa"/>
            <w:gridSpan w:val="3"/>
            <w:tcBorders>
              <w:top w:val="single" w:color="auto" w:sz="4" w:space="0"/>
              <w:left w:val="single" w:color="auto" w:sz="8" w:space="0"/>
              <w:bottom w:val="single" w:color="auto" w:sz="4" w:space="0"/>
              <w:right w:val="single" w:color="auto" w:sz="4" w:space="0"/>
            </w:tcBorders>
            <w:noWrap/>
            <w:vAlign w:val="center"/>
          </w:tcPr>
          <w:p w14:paraId="571E20E0">
            <w:pPr>
              <w:widowControl/>
              <w:jc w:val="center"/>
              <w:rPr>
                <w:rFonts w:ascii="宋体" w:hAnsi="宋体"/>
              </w:rPr>
            </w:pPr>
            <w:r>
              <w:rPr>
                <w:rFonts w:hint="eastAsia" w:ascii="宋体" w:hAnsi="宋体"/>
              </w:rPr>
              <w:t>安全与应急功能</w:t>
            </w:r>
          </w:p>
        </w:tc>
      </w:tr>
      <w:tr w14:paraId="3750FB29">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61BA8C06">
            <w:pPr>
              <w:widowControl/>
              <w:jc w:val="center"/>
              <w:rPr>
                <w:rFonts w:ascii="宋体" w:hAnsi="宋体"/>
              </w:rPr>
            </w:pPr>
            <w:r>
              <w:rPr>
                <w:rFonts w:hint="eastAsia" w:ascii="宋体" w:hAnsi="宋体"/>
              </w:rPr>
              <w:t>1</w:t>
            </w:r>
          </w:p>
        </w:tc>
        <w:tc>
          <w:tcPr>
            <w:tcW w:w="2279" w:type="dxa"/>
            <w:tcBorders>
              <w:top w:val="nil"/>
              <w:left w:val="nil"/>
              <w:bottom w:val="single" w:color="auto" w:sz="4" w:space="0"/>
              <w:right w:val="single" w:color="auto" w:sz="4" w:space="0"/>
            </w:tcBorders>
            <w:vAlign w:val="center"/>
          </w:tcPr>
          <w:p w14:paraId="2832ED59">
            <w:pPr>
              <w:widowControl/>
              <w:jc w:val="center"/>
              <w:rPr>
                <w:rFonts w:ascii="宋体" w:hAnsi="宋体"/>
              </w:rPr>
            </w:pPr>
            <w:r>
              <w:rPr>
                <w:rFonts w:hint="eastAsia" w:ascii="宋体" w:hAnsi="宋体"/>
              </w:rPr>
              <w:t>故障时就近平层(如，马达过温故障、楼层位置错误)</w:t>
            </w:r>
          </w:p>
        </w:tc>
        <w:tc>
          <w:tcPr>
            <w:tcW w:w="5950" w:type="dxa"/>
            <w:tcBorders>
              <w:top w:val="nil"/>
              <w:left w:val="nil"/>
              <w:bottom w:val="single" w:color="auto" w:sz="4" w:space="0"/>
              <w:right w:val="single" w:color="auto" w:sz="4" w:space="0"/>
            </w:tcBorders>
            <w:vAlign w:val="center"/>
          </w:tcPr>
          <w:p w14:paraId="1B00D407">
            <w:pPr>
              <w:widowControl/>
              <w:jc w:val="center"/>
              <w:rPr>
                <w:rFonts w:ascii="宋体" w:hAnsi="宋体"/>
              </w:rPr>
            </w:pPr>
            <w:r>
              <w:rPr>
                <w:rFonts w:hint="eastAsia" w:ascii="宋体" w:hAnsi="宋体"/>
              </w:rPr>
              <w:t>当电梯出现一般性信号故障时(安全回路和电源故障除外)，电梯会自动向最近的层站停靠，开门放人，然后终止服务</w:t>
            </w:r>
          </w:p>
        </w:tc>
      </w:tr>
      <w:tr w14:paraId="4334F723">
        <w:tblPrEx>
          <w:tblCellMar>
            <w:top w:w="0" w:type="dxa"/>
            <w:left w:w="108" w:type="dxa"/>
            <w:bottom w:w="0" w:type="dxa"/>
            <w:right w:w="108" w:type="dxa"/>
          </w:tblCellMar>
        </w:tblPrEx>
        <w:trPr>
          <w:trHeight w:val="560" w:hRule="atLeast"/>
          <w:jc w:val="center"/>
        </w:trPr>
        <w:tc>
          <w:tcPr>
            <w:tcW w:w="747" w:type="dxa"/>
            <w:tcBorders>
              <w:top w:val="single" w:color="auto" w:sz="4" w:space="0"/>
              <w:left w:val="single" w:color="auto" w:sz="4" w:space="0"/>
              <w:bottom w:val="single" w:color="auto" w:sz="4" w:space="0"/>
              <w:right w:val="single" w:color="auto" w:sz="4" w:space="0"/>
            </w:tcBorders>
            <w:noWrap/>
            <w:vAlign w:val="center"/>
          </w:tcPr>
          <w:p w14:paraId="28497115">
            <w:pPr>
              <w:widowControl/>
              <w:jc w:val="center"/>
              <w:rPr>
                <w:rFonts w:ascii="宋体" w:hAnsi="宋体"/>
              </w:rPr>
            </w:pPr>
            <w:r>
              <w:rPr>
                <w:rFonts w:hint="eastAsia" w:ascii="宋体" w:hAnsi="宋体"/>
              </w:rPr>
              <w:t>2</w:t>
            </w:r>
          </w:p>
        </w:tc>
        <w:tc>
          <w:tcPr>
            <w:tcW w:w="2279" w:type="dxa"/>
            <w:tcBorders>
              <w:top w:val="single" w:color="auto" w:sz="4" w:space="0"/>
              <w:left w:val="nil"/>
              <w:bottom w:val="single" w:color="auto" w:sz="4" w:space="0"/>
              <w:right w:val="single" w:color="auto" w:sz="4" w:space="0"/>
            </w:tcBorders>
            <w:vAlign w:val="center"/>
          </w:tcPr>
          <w:p w14:paraId="7CC2A599">
            <w:pPr>
              <w:widowControl/>
              <w:jc w:val="center"/>
              <w:rPr>
                <w:rFonts w:ascii="宋体" w:hAnsi="宋体"/>
              </w:rPr>
            </w:pPr>
            <w:r>
              <w:rPr>
                <w:rFonts w:hint="eastAsia" w:ascii="宋体" w:hAnsi="宋体"/>
              </w:rPr>
              <w:t xml:space="preserve">火灾应急返回 </w:t>
            </w:r>
          </w:p>
        </w:tc>
        <w:tc>
          <w:tcPr>
            <w:tcW w:w="5950" w:type="dxa"/>
            <w:tcBorders>
              <w:top w:val="single" w:color="auto" w:sz="4" w:space="0"/>
              <w:left w:val="nil"/>
              <w:bottom w:val="single" w:color="auto" w:sz="4" w:space="0"/>
              <w:right w:val="single" w:color="auto" w:sz="4" w:space="0"/>
            </w:tcBorders>
            <w:vAlign w:val="center"/>
          </w:tcPr>
          <w:p w14:paraId="5661BA96">
            <w:pPr>
              <w:widowControl/>
              <w:jc w:val="center"/>
              <w:rPr>
                <w:rFonts w:ascii="宋体" w:hAnsi="宋体"/>
              </w:rPr>
            </w:pPr>
            <w:r>
              <w:rPr>
                <w:rFonts w:hint="eastAsia" w:ascii="宋体" w:hAnsi="宋体"/>
              </w:rPr>
              <w:t>当电梯得到火警信号，电梯不响应所有内呼和外呼，立即自动返回指定楼层，开门停梯</w:t>
            </w:r>
          </w:p>
        </w:tc>
      </w:tr>
      <w:tr w14:paraId="0C95BB72">
        <w:tblPrEx>
          <w:tblCellMar>
            <w:top w:w="0" w:type="dxa"/>
            <w:left w:w="108" w:type="dxa"/>
            <w:bottom w:w="0" w:type="dxa"/>
            <w:right w:w="108" w:type="dxa"/>
          </w:tblCellMar>
        </w:tblPrEx>
        <w:trPr>
          <w:trHeight w:val="560" w:hRule="atLeast"/>
          <w:jc w:val="center"/>
        </w:trPr>
        <w:tc>
          <w:tcPr>
            <w:tcW w:w="747" w:type="dxa"/>
            <w:tcBorders>
              <w:top w:val="single" w:color="auto" w:sz="4" w:space="0"/>
              <w:left w:val="single" w:color="auto" w:sz="4" w:space="0"/>
              <w:bottom w:val="single" w:color="auto" w:sz="4" w:space="0"/>
              <w:right w:val="single" w:color="auto" w:sz="4" w:space="0"/>
            </w:tcBorders>
            <w:noWrap/>
            <w:vAlign w:val="center"/>
          </w:tcPr>
          <w:p w14:paraId="480BACC1">
            <w:pPr>
              <w:widowControl/>
              <w:jc w:val="center"/>
              <w:rPr>
                <w:rFonts w:ascii="宋体" w:hAnsi="宋体"/>
              </w:rPr>
            </w:pPr>
            <w:r>
              <w:rPr>
                <w:rFonts w:hint="eastAsia" w:ascii="宋体" w:hAnsi="宋体"/>
              </w:rPr>
              <w:t>3</w:t>
            </w:r>
          </w:p>
        </w:tc>
        <w:tc>
          <w:tcPr>
            <w:tcW w:w="2279" w:type="dxa"/>
            <w:tcBorders>
              <w:top w:val="single" w:color="auto" w:sz="4" w:space="0"/>
              <w:left w:val="nil"/>
              <w:bottom w:val="single" w:color="auto" w:sz="4" w:space="0"/>
              <w:right w:val="single" w:color="auto" w:sz="4" w:space="0"/>
            </w:tcBorders>
            <w:vAlign w:val="center"/>
          </w:tcPr>
          <w:p w14:paraId="3E8887A6">
            <w:pPr>
              <w:widowControl/>
              <w:jc w:val="center"/>
              <w:rPr>
                <w:rFonts w:ascii="宋体" w:hAnsi="宋体"/>
              </w:rPr>
            </w:pPr>
            <w:r>
              <w:rPr>
                <w:rFonts w:hint="eastAsia" w:ascii="宋体" w:hAnsi="宋体"/>
              </w:rPr>
              <w:t>报警和对讲功能</w:t>
            </w:r>
          </w:p>
        </w:tc>
        <w:tc>
          <w:tcPr>
            <w:tcW w:w="5950" w:type="dxa"/>
            <w:tcBorders>
              <w:top w:val="single" w:color="auto" w:sz="4" w:space="0"/>
              <w:left w:val="nil"/>
              <w:bottom w:val="single" w:color="auto" w:sz="4" w:space="0"/>
              <w:right w:val="single" w:color="auto" w:sz="4" w:space="0"/>
            </w:tcBorders>
            <w:vAlign w:val="center"/>
          </w:tcPr>
          <w:p w14:paraId="675B986F">
            <w:pPr>
              <w:widowControl/>
              <w:jc w:val="center"/>
              <w:rPr>
                <w:rFonts w:ascii="宋体" w:hAnsi="宋体"/>
              </w:rPr>
            </w:pPr>
            <w:r>
              <w:rPr>
                <w:rFonts w:hint="eastAsia" w:ascii="宋体" w:hAnsi="宋体"/>
              </w:rPr>
              <w:t>在紧急情况下按动报警和对讲按钮，轿顶的警铃会鸣叫，值班室的电梯内部对讲电话会响(如有三方通话功能)。</w:t>
            </w:r>
          </w:p>
        </w:tc>
      </w:tr>
      <w:tr w14:paraId="6FF1B627">
        <w:tblPrEx>
          <w:tblCellMar>
            <w:top w:w="0" w:type="dxa"/>
            <w:left w:w="108" w:type="dxa"/>
            <w:bottom w:w="0" w:type="dxa"/>
            <w:right w:w="108" w:type="dxa"/>
          </w:tblCellMar>
        </w:tblPrEx>
        <w:trPr>
          <w:trHeight w:val="280" w:hRule="atLeast"/>
          <w:jc w:val="center"/>
        </w:trPr>
        <w:tc>
          <w:tcPr>
            <w:tcW w:w="747" w:type="dxa"/>
            <w:tcBorders>
              <w:top w:val="single" w:color="auto" w:sz="4" w:space="0"/>
              <w:left w:val="single" w:color="auto" w:sz="4" w:space="0"/>
              <w:bottom w:val="single" w:color="auto" w:sz="4" w:space="0"/>
              <w:right w:val="single" w:color="auto" w:sz="4" w:space="0"/>
            </w:tcBorders>
            <w:noWrap/>
            <w:vAlign w:val="center"/>
          </w:tcPr>
          <w:p w14:paraId="4F866A50">
            <w:pPr>
              <w:widowControl/>
              <w:jc w:val="center"/>
              <w:rPr>
                <w:rFonts w:ascii="宋体" w:hAnsi="宋体"/>
              </w:rPr>
            </w:pPr>
            <w:r>
              <w:rPr>
                <w:rFonts w:hint="eastAsia" w:ascii="宋体" w:hAnsi="宋体"/>
              </w:rPr>
              <w:t>4</w:t>
            </w:r>
          </w:p>
        </w:tc>
        <w:tc>
          <w:tcPr>
            <w:tcW w:w="2279" w:type="dxa"/>
            <w:tcBorders>
              <w:top w:val="single" w:color="auto" w:sz="4" w:space="0"/>
              <w:left w:val="nil"/>
              <w:bottom w:val="single" w:color="auto" w:sz="4" w:space="0"/>
              <w:right w:val="single" w:color="auto" w:sz="4" w:space="0"/>
            </w:tcBorders>
            <w:vAlign w:val="center"/>
          </w:tcPr>
          <w:p w14:paraId="64E3CF93">
            <w:pPr>
              <w:widowControl/>
              <w:jc w:val="center"/>
              <w:rPr>
                <w:rFonts w:ascii="宋体" w:hAnsi="宋体"/>
              </w:rPr>
            </w:pPr>
            <w:r>
              <w:rPr>
                <w:rFonts w:hint="eastAsia" w:ascii="宋体" w:hAnsi="宋体"/>
              </w:rPr>
              <w:t xml:space="preserve">轿内应急照明 </w:t>
            </w:r>
          </w:p>
        </w:tc>
        <w:tc>
          <w:tcPr>
            <w:tcW w:w="5950" w:type="dxa"/>
            <w:tcBorders>
              <w:top w:val="single" w:color="auto" w:sz="4" w:space="0"/>
              <w:left w:val="nil"/>
              <w:bottom w:val="single" w:color="auto" w:sz="4" w:space="0"/>
              <w:right w:val="single" w:color="auto" w:sz="4" w:space="0"/>
            </w:tcBorders>
            <w:vAlign w:val="center"/>
          </w:tcPr>
          <w:p w14:paraId="42024241">
            <w:pPr>
              <w:widowControl/>
              <w:jc w:val="center"/>
              <w:rPr>
                <w:rFonts w:ascii="宋体" w:hAnsi="宋体"/>
              </w:rPr>
            </w:pPr>
            <w:r>
              <w:rPr>
                <w:rFonts w:hint="eastAsia" w:ascii="宋体" w:hAnsi="宋体"/>
              </w:rPr>
              <w:t>如果电梯突然停电，轿内应急灯会自动打开</w:t>
            </w:r>
          </w:p>
        </w:tc>
      </w:tr>
      <w:tr w14:paraId="445E30E0">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13882BA2">
            <w:pPr>
              <w:widowControl/>
              <w:jc w:val="center"/>
              <w:rPr>
                <w:rFonts w:ascii="宋体" w:hAnsi="宋体"/>
              </w:rPr>
            </w:pPr>
            <w:r>
              <w:rPr>
                <w:rFonts w:hint="eastAsia" w:ascii="宋体" w:hAnsi="宋体"/>
              </w:rPr>
              <w:t>5</w:t>
            </w:r>
          </w:p>
        </w:tc>
        <w:tc>
          <w:tcPr>
            <w:tcW w:w="2279" w:type="dxa"/>
            <w:tcBorders>
              <w:top w:val="nil"/>
              <w:left w:val="nil"/>
              <w:bottom w:val="single" w:color="auto" w:sz="4" w:space="0"/>
              <w:right w:val="single" w:color="auto" w:sz="4" w:space="0"/>
            </w:tcBorders>
            <w:vAlign w:val="center"/>
          </w:tcPr>
          <w:p w14:paraId="29B32511">
            <w:pPr>
              <w:widowControl/>
              <w:jc w:val="center"/>
              <w:rPr>
                <w:rFonts w:ascii="宋体" w:hAnsi="宋体"/>
              </w:rPr>
            </w:pPr>
            <w:r>
              <w:rPr>
                <w:rFonts w:hint="eastAsia" w:ascii="宋体" w:hAnsi="宋体"/>
              </w:rPr>
              <w:t xml:space="preserve">超载保护 </w:t>
            </w:r>
          </w:p>
        </w:tc>
        <w:tc>
          <w:tcPr>
            <w:tcW w:w="5950" w:type="dxa"/>
            <w:tcBorders>
              <w:top w:val="nil"/>
              <w:left w:val="nil"/>
              <w:bottom w:val="single" w:color="auto" w:sz="4" w:space="0"/>
              <w:right w:val="single" w:color="auto" w:sz="4" w:space="0"/>
            </w:tcBorders>
            <w:vAlign w:val="center"/>
          </w:tcPr>
          <w:p w14:paraId="25E91D53">
            <w:pPr>
              <w:widowControl/>
              <w:jc w:val="center"/>
              <w:rPr>
                <w:rFonts w:ascii="宋体" w:hAnsi="宋体"/>
              </w:rPr>
            </w:pPr>
            <w:r>
              <w:rPr>
                <w:rFonts w:hint="eastAsia" w:ascii="宋体" w:hAnsi="宋体"/>
              </w:rPr>
              <w:t>当电梯轿厢的载重大于额定载重量的110%时，电梯在层楼平层位置保持开门状态，同时向轿厢内发出警报信号，以示电梯现已超载、不能启动运行</w:t>
            </w:r>
          </w:p>
        </w:tc>
      </w:tr>
      <w:tr w14:paraId="21F3AA47">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2AADAAA0">
            <w:pPr>
              <w:widowControl/>
              <w:jc w:val="center"/>
              <w:rPr>
                <w:rFonts w:ascii="宋体" w:hAnsi="宋体"/>
              </w:rPr>
            </w:pPr>
            <w:r>
              <w:rPr>
                <w:rFonts w:hint="eastAsia" w:ascii="宋体" w:hAnsi="宋体"/>
              </w:rPr>
              <w:t>6</w:t>
            </w:r>
          </w:p>
        </w:tc>
        <w:tc>
          <w:tcPr>
            <w:tcW w:w="2279" w:type="dxa"/>
            <w:tcBorders>
              <w:top w:val="nil"/>
              <w:left w:val="nil"/>
              <w:bottom w:val="single" w:color="auto" w:sz="4" w:space="0"/>
              <w:right w:val="single" w:color="auto" w:sz="4" w:space="0"/>
            </w:tcBorders>
            <w:vAlign w:val="center"/>
          </w:tcPr>
          <w:p w14:paraId="5DD97098">
            <w:pPr>
              <w:widowControl/>
              <w:jc w:val="center"/>
              <w:rPr>
                <w:rFonts w:ascii="宋体" w:hAnsi="宋体"/>
              </w:rPr>
            </w:pPr>
            <w:r>
              <w:rPr>
                <w:rFonts w:hint="eastAsia" w:ascii="宋体" w:hAnsi="宋体"/>
              </w:rPr>
              <w:t xml:space="preserve">门锁故障重复关门 </w:t>
            </w:r>
          </w:p>
        </w:tc>
        <w:tc>
          <w:tcPr>
            <w:tcW w:w="5950" w:type="dxa"/>
            <w:tcBorders>
              <w:top w:val="nil"/>
              <w:left w:val="nil"/>
              <w:bottom w:val="single" w:color="auto" w:sz="4" w:space="0"/>
              <w:right w:val="single" w:color="auto" w:sz="4" w:space="0"/>
            </w:tcBorders>
            <w:vAlign w:val="center"/>
          </w:tcPr>
          <w:p w14:paraId="5BA2D25C">
            <w:pPr>
              <w:widowControl/>
              <w:jc w:val="center"/>
              <w:rPr>
                <w:rFonts w:ascii="宋体" w:hAnsi="宋体"/>
              </w:rPr>
            </w:pPr>
            <w:r>
              <w:rPr>
                <w:rFonts w:hint="eastAsia" w:ascii="宋体" w:hAnsi="宋体"/>
              </w:rPr>
              <w:t>电梯控制系统一直会检查电梯门锁状态，系统如果检测到电梯门未完全关闭或门锁有故障时，电梯门会自动打开后再自动关闭</w:t>
            </w:r>
          </w:p>
        </w:tc>
      </w:tr>
      <w:tr w14:paraId="34315110">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673B3AF6">
            <w:pPr>
              <w:widowControl/>
              <w:jc w:val="center"/>
              <w:rPr>
                <w:rFonts w:ascii="宋体" w:hAnsi="宋体"/>
              </w:rPr>
            </w:pPr>
            <w:r>
              <w:rPr>
                <w:rFonts w:hint="eastAsia" w:ascii="宋体" w:hAnsi="宋体"/>
              </w:rPr>
              <w:t>7</w:t>
            </w:r>
          </w:p>
        </w:tc>
        <w:tc>
          <w:tcPr>
            <w:tcW w:w="2279" w:type="dxa"/>
            <w:tcBorders>
              <w:top w:val="nil"/>
              <w:left w:val="nil"/>
              <w:bottom w:val="single" w:color="auto" w:sz="4" w:space="0"/>
              <w:right w:val="single" w:color="auto" w:sz="4" w:space="0"/>
            </w:tcBorders>
            <w:vAlign w:val="center"/>
          </w:tcPr>
          <w:p w14:paraId="2D9749DD">
            <w:pPr>
              <w:widowControl/>
              <w:jc w:val="center"/>
              <w:rPr>
                <w:rFonts w:ascii="宋体" w:hAnsi="宋体"/>
              </w:rPr>
            </w:pPr>
            <w:r>
              <w:rPr>
                <w:rFonts w:hint="eastAsia" w:ascii="宋体" w:hAnsi="宋体"/>
              </w:rPr>
              <w:t>门受阻保护</w:t>
            </w:r>
          </w:p>
        </w:tc>
        <w:tc>
          <w:tcPr>
            <w:tcW w:w="5950" w:type="dxa"/>
            <w:tcBorders>
              <w:top w:val="nil"/>
              <w:left w:val="nil"/>
              <w:bottom w:val="single" w:color="auto" w:sz="4" w:space="0"/>
              <w:right w:val="single" w:color="auto" w:sz="4" w:space="0"/>
            </w:tcBorders>
            <w:vAlign w:val="center"/>
          </w:tcPr>
          <w:p w14:paraId="76F842C8">
            <w:pPr>
              <w:widowControl/>
              <w:jc w:val="center"/>
              <w:rPr>
                <w:rFonts w:ascii="宋体" w:hAnsi="宋体"/>
              </w:rPr>
            </w:pPr>
            <w:r>
              <w:rPr>
                <w:rFonts w:hint="eastAsia" w:ascii="宋体" w:hAnsi="宋体"/>
              </w:rPr>
              <w:t>轿厢关门受阻不能完全关闭时，门反向开启</w:t>
            </w:r>
          </w:p>
        </w:tc>
      </w:tr>
      <w:tr w14:paraId="0F2E7B44">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330828BD">
            <w:pPr>
              <w:widowControl/>
              <w:jc w:val="center"/>
              <w:rPr>
                <w:rFonts w:ascii="宋体" w:hAnsi="宋体"/>
              </w:rPr>
            </w:pPr>
            <w:r>
              <w:rPr>
                <w:rFonts w:hint="eastAsia" w:ascii="宋体" w:hAnsi="宋体"/>
              </w:rPr>
              <w:t>8</w:t>
            </w:r>
          </w:p>
        </w:tc>
        <w:tc>
          <w:tcPr>
            <w:tcW w:w="2279" w:type="dxa"/>
            <w:tcBorders>
              <w:top w:val="nil"/>
              <w:left w:val="nil"/>
              <w:bottom w:val="single" w:color="auto" w:sz="4" w:space="0"/>
              <w:right w:val="single" w:color="auto" w:sz="4" w:space="0"/>
            </w:tcBorders>
            <w:vAlign w:val="center"/>
          </w:tcPr>
          <w:p w14:paraId="49520E75">
            <w:pPr>
              <w:widowControl/>
              <w:jc w:val="center"/>
              <w:rPr>
                <w:rFonts w:ascii="宋体" w:hAnsi="宋体"/>
              </w:rPr>
            </w:pPr>
            <w:r>
              <w:rPr>
                <w:rFonts w:hint="eastAsia" w:ascii="宋体" w:hAnsi="宋体"/>
              </w:rPr>
              <w:t xml:space="preserve">锁梯(钥匙开关) </w:t>
            </w:r>
          </w:p>
        </w:tc>
        <w:tc>
          <w:tcPr>
            <w:tcW w:w="5950" w:type="dxa"/>
            <w:tcBorders>
              <w:top w:val="nil"/>
              <w:left w:val="nil"/>
              <w:bottom w:val="single" w:color="auto" w:sz="4" w:space="0"/>
              <w:right w:val="single" w:color="auto" w:sz="4" w:space="0"/>
            </w:tcBorders>
            <w:vAlign w:val="center"/>
          </w:tcPr>
          <w:p w14:paraId="6654D580">
            <w:pPr>
              <w:widowControl/>
              <w:jc w:val="center"/>
              <w:rPr>
                <w:rFonts w:ascii="宋体" w:hAnsi="宋体"/>
              </w:rPr>
            </w:pPr>
            <w:r>
              <w:rPr>
                <w:rFonts w:hint="eastAsia" w:ascii="宋体" w:hAnsi="宋体"/>
              </w:rPr>
              <w:t>当要使电梯停止运行时，在基站召唤箱上用钥匙转向闭梯处，当电梯已在基站，此时电梯关闭;当电梯不在基站，待应答完指令后回基站关闭电梯</w:t>
            </w:r>
          </w:p>
        </w:tc>
      </w:tr>
      <w:tr w14:paraId="16490BD8">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0B3DDA2F">
            <w:pPr>
              <w:widowControl/>
              <w:jc w:val="center"/>
              <w:rPr>
                <w:rFonts w:ascii="宋体" w:hAnsi="宋体"/>
              </w:rPr>
            </w:pPr>
            <w:r>
              <w:rPr>
                <w:rFonts w:hint="eastAsia" w:ascii="宋体" w:hAnsi="宋体"/>
              </w:rPr>
              <w:t>9</w:t>
            </w:r>
          </w:p>
        </w:tc>
        <w:tc>
          <w:tcPr>
            <w:tcW w:w="2279" w:type="dxa"/>
            <w:tcBorders>
              <w:top w:val="nil"/>
              <w:left w:val="nil"/>
              <w:bottom w:val="single" w:color="auto" w:sz="4" w:space="0"/>
              <w:right w:val="single" w:color="auto" w:sz="4" w:space="0"/>
            </w:tcBorders>
            <w:vAlign w:val="center"/>
          </w:tcPr>
          <w:p w14:paraId="3BC0ABF8">
            <w:pPr>
              <w:widowControl/>
              <w:jc w:val="center"/>
              <w:rPr>
                <w:rFonts w:ascii="宋体" w:hAnsi="宋体"/>
              </w:rPr>
            </w:pPr>
            <w:r>
              <w:rPr>
                <w:rFonts w:hint="eastAsia" w:ascii="宋体" w:hAnsi="宋体"/>
              </w:rPr>
              <w:t>缺相及错相保护</w:t>
            </w:r>
          </w:p>
        </w:tc>
        <w:tc>
          <w:tcPr>
            <w:tcW w:w="5950" w:type="dxa"/>
            <w:tcBorders>
              <w:top w:val="nil"/>
              <w:left w:val="nil"/>
              <w:bottom w:val="single" w:color="auto" w:sz="4" w:space="0"/>
              <w:right w:val="single" w:color="auto" w:sz="4" w:space="0"/>
            </w:tcBorders>
            <w:vAlign w:val="center"/>
          </w:tcPr>
          <w:p w14:paraId="6A2154C6">
            <w:pPr>
              <w:widowControl/>
              <w:jc w:val="center"/>
              <w:rPr>
                <w:rFonts w:ascii="宋体" w:hAnsi="宋体"/>
              </w:rPr>
            </w:pPr>
            <w:r>
              <w:rPr>
                <w:rFonts w:hint="eastAsia" w:ascii="宋体" w:hAnsi="宋体"/>
              </w:rPr>
              <w:t>三相电源当任何一相断开或三相电源相序与出厂规定的相序不符时，相序继电器动作，断开安全电路，电梯停止运行</w:t>
            </w:r>
          </w:p>
        </w:tc>
      </w:tr>
      <w:tr w14:paraId="5A24406A">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3407A1C1">
            <w:pPr>
              <w:widowControl/>
              <w:jc w:val="center"/>
              <w:rPr>
                <w:rFonts w:ascii="宋体" w:hAnsi="宋体"/>
              </w:rPr>
            </w:pPr>
            <w:r>
              <w:rPr>
                <w:rFonts w:hint="eastAsia" w:ascii="宋体" w:hAnsi="宋体"/>
              </w:rPr>
              <w:t>10</w:t>
            </w:r>
          </w:p>
        </w:tc>
        <w:tc>
          <w:tcPr>
            <w:tcW w:w="2279" w:type="dxa"/>
            <w:tcBorders>
              <w:top w:val="nil"/>
              <w:left w:val="nil"/>
              <w:bottom w:val="single" w:color="auto" w:sz="4" w:space="0"/>
              <w:right w:val="single" w:color="auto" w:sz="4" w:space="0"/>
            </w:tcBorders>
            <w:vAlign w:val="center"/>
          </w:tcPr>
          <w:p w14:paraId="02FE1608">
            <w:pPr>
              <w:widowControl/>
              <w:jc w:val="center"/>
              <w:rPr>
                <w:rFonts w:ascii="宋体" w:hAnsi="宋体"/>
              </w:rPr>
            </w:pPr>
            <w:r>
              <w:rPr>
                <w:rFonts w:hint="eastAsia" w:ascii="宋体" w:hAnsi="宋体"/>
              </w:rPr>
              <w:t>控制柜可锁</w:t>
            </w:r>
          </w:p>
        </w:tc>
        <w:tc>
          <w:tcPr>
            <w:tcW w:w="5950" w:type="dxa"/>
            <w:tcBorders>
              <w:top w:val="nil"/>
              <w:left w:val="nil"/>
              <w:bottom w:val="single" w:color="auto" w:sz="4" w:space="0"/>
              <w:right w:val="single" w:color="auto" w:sz="4" w:space="0"/>
            </w:tcBorders>
            <w:vAlign w:val="center"/>
          </w:tcPr>
          <w:p w14:paraId="4AB20E27">
            <w:pPr>
              <w:widowControl/>
              <w:jc w:val="center"/>
              <w:rPr>
                <w:rFonts w:ascii="宋体" w:hAnsi="宋体"/>
              </w:rPr>
            </w:pPr>
            <w:r>
              <w:rPr>
                <w:rFonts w:hint="eastAsia" w:ascii="宋体" w:hAnsi="宋体"/>
              </w:rPr>
              <w:t>主开关 电梯控制柜设有可上锁的主开关，控制电梯开停</w:t>
            </w:r>
          </w:p>
        </w:tc>
      </w:tr>
      <w:tr w14:paraId="2607F1F0">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39E02C1F">
            <w:pPr>
              <w:widowControl/>
              <w:jc w:val="center"/>
              <w:rPr>
                <w:rFonts w:ascii="宋体" w:hAnsi="宋体"/>
              </w:rPr>
            </w:pPr>
            <w:r>
              <w:rPr>
                <w:rFonts w:hint="eastAsia" w:ascii="宋体" w:hAnsi="宋体"/>
              </w:rPr>
              <w:t>11</w:t>
            </w:r>
          </w:p>
        </w:tc>
        <w:tc>
          <w:tcPr>
            <w:tcW w:w="2279" w:type="dxa"/>
            <w:tcBorders>
              <w:top w:val="nil"/>
              <w:left w:val="nil"/>
              <w:bottom w:val="single" w:color="auto" w:sz="4" w:space="0"/>
              <w:right w:val="single" w:color="auto" w:sz="4" w:space="0"/>
            </w:tcBorders>
            <w:vAlign w:val="center"/>
          </w:tcPr>
          <w:p w14:paraId="1A7CE130">
            <w:pPr>
              <w:widowControl/>
              <w:jc w:val="center"/>
              <w:rPr>
                <w:rFonts w:ascii="宋体" w:hAnsi="宋体"/>
              </w:rPr>
            </w:pPr>
            <w:r>
              <w:rPr>
                <w:rFonts w:hint="eastAsia" w:ascii="宋体" w:hAnsi="宋体"/>
              </w:rPr>
              <w:t>紧急电动运行</w:t>
            </w:r>
          </w:p>
        </w:tc>
        <w:tc>
          <w:tcPr>
            <w:tcW w:w="5950" w:type="dxa"/>
            <w:tcBorders>
              <w:top w:val="nil"/>
              <w:left w:val="nil"/>
              <w:bottom w:val="single" w:color="auto" w:sz="4" w:space="0"/>
              <w:right w:val="single" w:color="auto" w:sz="4" w:space="0"/>
            </w:tcBorders>
            <w:vAlign w:val="center"/>
          </w:tcPr>
          <w:p w14:paraId="25E67BE2">
            <w:pPr>
              <w:widowControl/>
              <w:jc w:val="center"/>
              <w:rPr>
                <w:rFonts w:ascii="宋体" w:hAnsi="宋体"/>
              </w:rPr>
            </w:pPr>
            <w:r>
              <w:rPr>
                <w:rFonts w:hint="eastAsia" w:ascii="宋体" w:hAnsi="宋体"/>
              </w:rPr>
              <w:t>电梯在紧急状态下，可以通过电梯机房控制柜上的操纵面板进行紧急操作，呼叫电梯上下运行，以达到紧急救援的目的</w:t>
            </w:r>
          </w:p>
        </w:tc>
      </w:tr>
      <w:tr w14:paraId="22C1BE65">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46EE6DA6">
            <w:pPr>
              <w:widowControl/>
              <w:jc w:val="center"/>
              <w:rPr>
                <w:rFonts w:ascii="宋体" w:hAnsi="宋体"/>
              </w:rPr>
            </w:pPr>
            <w:r>
              <w:rPr>
                <w:rFonts w:hint="eastAsia" w:ascii="宋体" w:hAnsi="宋体"/>
              </w:rPr>
              <w:t>12</w:t>
            </w:r>
          </w:p>
        </w:tc>
        <w:tc>
          <w:tcPr>
            <w:tcW w:w="2279" w:type="dxa"/>
            <w:tcBorders>
              <w:top w:val="nil"/>
              <w:left w:val="nil"/>
              <w:bottom w:val="single" w:color="auto" w:sz="4" w:space="0"/>
              <w:right w:val="single" w:color="auto" w:sz="4" w:space="0"/>
            </w:tcBorders>
            <w:vAlign w:val="center"/>
          </w:tcPr>
          <w:p w14:paraId="33B87098">
            <w:pPr>
              <w:widowControl/>
              <w:jc w:val="center"/>
              <w:rPr>
                <w:rFonts w:ascii="宋体" w:hAnsi="宋体"/>
              </w:rPr>
            </w:pPr>
            <w:r>
              <w:rPr>
                <w:rFonts w:hint="eastAsia" w:ascii="宋体" w:hAnsi="宋体"/>
              </w:rPr>
              <w:t>检修操作</w:t>
            </w:r>
          </w:p>
        </w:tc>
        <w:tc>
          <w:tcPr>
            <w:tcW w:w="5950" w:type="dxa"/>
            <w:tcBorders>
              <w:top w:val="nil"/>
              <w:left w:val="nil"/>
              <w:bottom w:val="single" w:color="auto" w:sz="4" w:space="0"/>
              <w:right w:val="single" w:color="auto" w:sz="4" w:space="0"/>
            </w:tcBorders>
            <w:vAlign w:val="center"/>
          </w:tcPr>
          <w:p w14:paraId="2311903D">
            <w:pPr>
              <w:widowControl/>
              <w:jc w:val="center"/>
              <w:rPr>
                <w:rFonts w:ascii="宋体" w:hAnsi="宋体"/>
              </w:rPr>
            </w:pPr>
            <w:r>
              <w:rPr>
                <w:rFonts w:hint="eastAsia" w:ascii="宋体" w:hAnsi="宋体"/>
              </w:rPr>
              <w:t>供维修人员使用的检修运行模式通过电梯轿顶的操纵面板进行操作，呼叫电梯上下运行，以达到在轿顶检修时运行的目的</w:t>
            </w:r>
          </w:p>
        </w:tc>
      </w:tr>
      <w:tr w14:paraId="1CAB3E47">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055A3B48">
            <w:pPr>
              <w:widowControl/>
              <w:jc w:val="center"/>
              <w:rPr>
                <w:rFonts w:ascii="宋体" w:hAnsi="宋体"/>
              </w:rPr>
            </w:pPr>
            <w:r>
              <w:rPr>
                <w:rFonts w:hint="eastAsia" w:ascii="宋体" w:hAnsi="宋体"/>
              </w:rPr>
              <w:t>13</w:t>
            </w:r>
          </w:p>
        </w:tc>
        <w:tc>
          <w:tcPr>
            <w:tcW w:w="2279" w:type="dxa"/>
            <w:tcBorders>
              <w:top w:val="nil"/>
              <w:left w:val="nil"/>
              <w:bottom w:val="single" w:color="auto" w:sz="4" w:space="0"/>
              <w:right w:val="single" w:color="auto" w:sz="4" w:space="0"/>
            </w:tcBorders>
            <w:vAlign w:val="center"/>
          </w:tcPr>
          <w:p w14:paraId="7B30B4A1">
            <w:pPr>
              <w:widowControl/>
              <w:jc w:val="center"/>
              <w:rPr>
                <w:rFonts w:ascii="宋体" w:hAnsi="宋体"/>
              </w:rPr>
            </w:pPr>
            <w:r>
              <w:rPr>
                <w:rFonts w:hint="eastAsia" w:ascii="宋体" w:hAnsi="宋体"/>
              </w:rPr>
              <w:t>曳引机温度监控</w:t>
            </w:r>
          </w:p>
        </w:tc>
        <w:tc>
          <w:tcPr>
            <w:tcW w:w="5950" w:type="dxa"/>
            <w:tcBorders>
              <w:top w:val="nil"/>
              <w:left w:val="nil"/>
              <w:bottom w:val="single" w:color="auto" w:sz="4" w:space="0"/>
              <w:right w:val="single" w:color="auto" w:sz="4" w:space="0"/>
            </w:tcBorders>
            <w:vAlign w:val="center"/>
          </w:tcPr>
          <w:p w14:paraId="0BB76335">
            <w:pPr>
              <w:widowControl/>
              <w:jc w:val="center"/>
              <w:rPr>
                <w:rFonts w:ascii="宋体" w:hAnsi="宋体"/>
              </w:rPr>
            </w:pPr>
            <w:r>
              <w:rPr>
                <w:rFonts w:hint="eastAsia" w:ascii="宋体" w:hAnsi="宋体"/>
              </w:rPr>
              <w:t>马达温度超过一定值时(120度)，则电梯在此次运行停站后停梯保护，直至温度降低至预设值以下，电梯再自动恢复运行</w:t>
            </w:r>
          </w:p>
        </w:tc>
      </w:tr>
      <w:tr w14:paraId="6658BE38">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1774505B">
            <w:pPr>
              <w:widowControl/>
              <w:jc w:val="center"/>
              <w:rPr>
                <w:rFonts w:ascii="宋体" w:hAnsi="宋体"/>
              </w:rPr>
            </w:pPr>
            <w:r>
              <w:rPr>
                <w:rFonts w:hint="eastAsia" w:ascii="宋体" w:hAnsi="宋体"/>
              </w:rPr>
              <w:t>14</w:t>
            </w:r>
          </w:p>
        </w:tc>
        <w:tc>
          <w:tcPr>
            <w:tcW w:w="2279" w:type="dxa"/>
            <w:tcBorders>
              <w:top w:val="nil"/>
              <w:left w:val="nil"/>
              <w:bottom w:val="single" w:color="auto" w:sz="4" w:space="0"/>
              <w:right w:val="single" w:color="auto" w:sz="4" w:space="0"/>
            </w:tcBorders>
            <w:vAlign w:val="center"/>
          </w:tcPr>
          <w:p w14:paraId="00F156C5">
            <w:pPr>
              <w:widowControl/>
              <w:jc w:val="center"/>
              <w:rPr>
                <w:rFonts w:ascii="宋体" w:hAnsi="宋体"/>
              </w:rPr>
            </w:pPr>
            <w:r>
              <w:rPr>
                <w:rFonts w:hint="eastAsia" w:ascii="宋体" w:hAnsi="宋体"/>
              </w:rPr>
              <w:t>曳引机空转保护功能</w:t>
            </w:r>
          </w:p>
        </w:tc>
        <w:tc>
          <w:tcPr>
            <w:tcW w:w="5950" w:type="dxa"/>
            <w:tcBorders>
              <w:top w:val="nil"/>
              <w:left w:val="nil"/>
              <w:bottom w:val="single" w:color="auto" w:sz="4" w:space="0"/>
              <w:right w:val="single" w:color="auto" w:sz="4" w:space="0"/>
            </w:tcBorders>
            <w:vAlign w:val="center"/>
          </w:tcPr>
          <w:p w14:paraId="390B24A6">
            <w:pPr>
              <w:widowControl/>
              <w:jc w:val="center"/>
              <w:rPr>
                <w:rFonts w:ascii="宋体" w:hAnsi="宋体"/>
              </w:rPr>
            </w:pPr>
            <w:r>
              <w:rPr>
                <w:rFonts w:hint="eastAsia" w:ascii="宋体" w:hAnsi="宋体"/>
              </w:rPr>
              <w:t>当主机出现空转故障时，超过设定的时间后会自动停止</w:t>
            </w:r>
          </w:p>
        </w:tc>
      </w:tr>
      <w:tr w14:paraId="36E22952">
        <w:tblPrEx>
          <w:tblCellMar>
            <w:top w:w="0" w:type="dxa"/>
            <w:left w:w="108" w:type="dxa"/>
            <w:bottom w:w="0" w:type="dxa"/>
            <w:right w:w="108" w:type="dxa"/>
          </w:tblCellMar>
        </w:tblPrEx>
        <w:trPr>
          <w:trHeight w:val="1400" w:hRule="atLeast"/>
          <w:jc w:val="center"/>
        </w:trPr>
        <w:tc>
          <w:tcPr>
            <w:tcW w:w="747" w:type="dxa"/>
            <w:tcBorders>
              <w:top w:val="nil"/>
              <w:left w:val="single" w:color="auto" w:sz="8" w:space="0"/>
              <w:bottom w:val="single" w:color="auto" w:sz="4" w:space="0"/>
              <w:right w:val="single" w:color="auto" w:sz="4" w:space="0"/>
            </w:tcBorders>
            <w:noWrap/>
            <w:vAlign w:val="center"/>
          </w:tcPr>
          <w:p w14:paraId="2E585C69">
            <w:pPr>
              <w:widowControl/>
              <w:jc w:val="center"/>
              <w:rPr>
                <w:rFonts w:ascii="宋体" w:hAnsi="宋体"/>
              </w:rPr>
            </w:pPr>
            <w:r>
              <w:rPr>
                <w:rFonts w:hint="eastAsia" w:ascii="宋体" w:hAnsi="宋体"/>
              </w:rPr>
              <w:t>15</w:t>
            </w:r>
          </w:p>
        </w:tc>
        <w:tc>
          <w:tcPr>
            <w:tcW w:w="2279" w:type="dxa"/>
            <w:tcBorders>
              <w:top w:val="nil"/>
              <w:left w:val="nil"/>
              <w:bottom w:val="single" w:color="auto" w:sz="4" w:space="0"/>
              <w:right w:val="single" w:color="auto" w:sz="4" w:space="0"/>
            </w:tcBorders>
            <w:vAlign w:val="center"/>
          </w:tcPr>
          <w:p w14:paraId="0897EAEC">
            <w:pPr>
              <w:widowControl/>
              <w:jc w:val="center"/>
              <w:rPr>
                <w:rFonts w:ascii="宋体" w:hAnsi="宋体"/>
              </w:rPr>
            </w:pPr>
            <w:r>
              <w:rPr>
                <w:rFonts w:hint="eastAsia" w:ascii="宋体" w:hAnsi="宋体"/>
              </w:rPr>
              <w:t>火灾应急返回信号预留</w:t>
            </w:r>
          </w:p>
        </w:tc>
        <w:tc>
          <w:tcPr>
            <w:tcW w:w="5950" w:type="dxa"/>
            <w:tcBorders>
              <w:top w:val="nil"/>
              <w:left w:val="nil"/>
              <w:bottom w:val="single" w:color="auto" w:sz="4" w:space="0"/>
              <w:right w:val="single" w:color="auto" w:sz="4" w:space="0"/>
            </w:tcBorders>
            <w:vAlign w:val="center"/>
          </w:tcPr>
          <w:p w14:paraId="24758A7E">
            <w:pPr>
              <w:widowControl/>
              <w:jc w:val="center"/>
              <w:rPr>
                <w:rFonts w:ascii="宋体" w:hAnsi="宋体"/>
              </w:rPr>
            </w:pPr>
            <w:r>
              <w:rPr>
                <w:rFonts w:hint="eastAsia" w:ascii="宋体" w:hAnsi="宋体"/>
              </w:rPr>
              <w:t>当电梯火灾应急返回完成后，在控制柜输出一个电梯返回到位信号</w:t>
            </w:r>
            <w:r>
              <w:rPr>
                <w:rFonts w:hint="eastAsia" w:ascii="宋体" w:hAnsi="宋体"/>
              </w:rPr>
              <w:br w:type="textWrapping"/>
            </w:r>
            <w:r>
              <w:rPr>
                <w:rFonts w:hint="eastAsia" w:ascii="宋体" w:hAnsi="宋体"/>
              </w:rPr>
              <w:t>UCMP 轿厢意外移动保护 防止在开锁区域内且开门状态下，轿厢无指令离开层站的移动(不包含装卸载引起的移动)</w:t>
            </w:r>
          </w:p>
        </w:tc>
      </w:tr>
      <w:tr w14:paraId="58937018">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7AB06752">
            <w:pPr>
              <w:widowControl/>
              <w:jc w:val="center"/>
              <w:rPr>
                <w:rFonts w:ascii="宋体" w:hAnsi="宋体"/>
              </w:rPr>
            </w:pPr>
            <w:r>
              <w:rPr>
                <w:rFonts w:hint="eastAsia" w:ascii="宋体" w:hAnsi="宋体"/>
              </w:rPr>
              <w:t>16</w:t>
            </w:r>
          </w:p>
        </w:tc>
        <w:tc>
          <w:tcPr>
            <w:tcW w:w="2279" w:type="dxa"/>
            <w:tcBorders>
              <w:top w:val="nil"/>
              <w:left w:val="nil"/>
              <w:bottom w:val="single" w:color="auto" w:sz="4" w:space="0"/>
              <w:right w:val="single" w:color="auto" w:sz="4" w:space="0"/>
            </w:tcBorders>
            <w:vAlign w:val="center"/>
          </w:tcPr>
          <w:p w14:paraId="5E0F7955">
            <w:pPr>
              <w:widowControl/>
              <w:jc w:val="center"/>
              <w:rPr>
                <w:rFonts w:ascii="宋体" w:hAnsi="宋体"/>
              </w:rPr>
            </w:pPr>
            <w:r>
              <w:rPr>
                <w:rFonts w:hint="eastAsia" w:ascii="宋体" w:hAnsi="宋体"/>
              </w:rPr>
              <w:t>限制轿内人员开启轿门装置</w:t>
            </w:r>
          </w:p>
        </w:tc>
        <w:tc>
          <w:tcPr>
            <w:tcW w:w="5950" w:type="dxa"/>
            <w:tcBorders>
              <w:top w:val="nil"/>
              <w:left w:val="nil"/>
              <w:bottom w:val="single" w:color="auto" w:sz="4" w:space="0"/>
              <w:right w:val="single" w:color="auto" w:sz="4" w:space="0"/>
            </w:tcBorders>
            <w:vAlign w:val="center"/>
          </w:tcPr>
          <w:p w14:paraId="4B4F673D">
            <w:pPr>
              <w:widowControl/>
              <w:jc w:val="center"/>
              <w:rPr>
                <w:rFonts w:ascii="宋体" w:hAnsi="宋体"/>
              </w:rPr>
            </w:pPr>
            <w:r>
              <w:rPr>
                <w:rFonts w:hint="eastAsia" w:ascii="宋体" w:hAnsi="宋体"/>
              </w:rPr>
              <w:t>为了限制轿厢内人员开启轿门的装置</w:t>
            </w:r>
          </w:p>
        </w:tc>
      </w:tr>
      <w:tr w14:paraId="35DEE4C5">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02434851">
            <w:pPr>
              <w:widowControl/>
              <w:jc w:val="center"/>
              <w:rPr>
                <w:rFonts w:ascii="宋体" w:hAnsi="宋体"/>
              </w:rPr>
            </w:pPr>
            <w:r>
              <w:rPr>
                <w:rFonts w:hint="eastAsia" w:ascii="宋体" w:hAnsi="宋体"/>
              </w:rPr>
              <w:t>17</w:t>
            </w:r>
          </w:p>
        </w:tc>
        <w:tc>
          <w:tcPr>
            <w:tcW w:w="2279" w:type="dxa"/>
            <w:tcBorders>
              <w:top w:val="nil"/>
              <w:left w:val="nil"/>
              <w:bottom w:val="single" w:color="auto" w:sz="4" w:space="0"/>
              <w:right w:val="single" w:color="auto" w:sz="4" w:space="0"/>
            </w:tcBorders>
            <w:vAlign w:val="center"/>
          </w:tcPr>
          <w:p w14:paraId="6F9CD65F">
            <w:pPr>
              <w:widowControl/>
              <w:jc w:val="center"/>
              <w:rPr>
                <w:rFonts w:ascii="宋体" w:hAnsi="宋体"/>
              </w:rPr>
            </w:pPr>
            <w:r>
              <w:rPr>
                <w:rFonts w:hint="eastAsia" w:ascii="宋体" w:hAnsi="宋体"/>
              </w:rPr>
              <w:t>制动力矩检测功能</w:t>
            </w:r>
          </w:p>
        </w:tc>
        <w:tc>
          <w:tcPr>
            <w:tcW w:w="5950" w:type="dxa"/>
            <w:tcBorders>
              <w:top w:val="nil"/>
              <w:left w:val="nil"/>
              <w:bottom w:val="single" w:color="auto" w:sz="4" w:space="0"/>
              <w:right w:val="single" w:color="auto" w:sz="4" w:space="0"/>
            </w:tcBorders>
            <w:vAlign w:val="center"/>
          </w:tcPr>
          <w:p w14:paraId="5234FED9">
            <w:pPr>
              <w:widowControl/>
              <w:jc w:val="center"/>
              <w:rPr>
                <w:rFonts w:ascii="宋体" w:hAnsi="宋体"/>
              </w:rPr>
            </w:pPr>
            <w:r>
              <w:rPr>
                <w:rFonts w:hint="eastAsia" w:ascii="宋体" w:hAnsi="宋体"/>
              </w:rPr>
              <w:t>控制柜提供制动力检测装置，确保电梯制动器制动能力。</w:t>
            </w:r>
          </w:p>
        </w:tc>
      </w:tr>
      <w:tr w14:paraId="62A09EE1">
        <w:tblPrEx>
          <w:tblCellMar>
            <w:top w:w="0" w:type="dxa"/>
            <w:left w:w="108" w:type="dxa"/>
            <w:bottom w:w="0" w:type="dxa"/>
            <w:right w:w="108" w:type="dxa"/>
          </w:tblCellMar>
        </w:tblPrEx>
        <w:trPr>
          <w:trHeight w:val="1120" w:hRule="atLeast"/>
          <w:jc w:val="center"/>
        </w:trPr>
        <w:tc>
          <w:tcPr>
            <w:tcW w:w="747" w:type="dxa"/>
            <w:tcBorders>
              <w:top w:val="nil"/>
              <w:left w:val="single" w:color="auto" w:sz="8" w:space="0"/>
              <w:bottom w:val="single" w:color="auto" w:sz="4" w:space="0"/>
              <w:right w:val="single" w:color="auto" w:sz="4" w:space="0"/>
            </w:tcBorders>
            <w:noWrap/>
            <w:vAlign w:val="center"/>
          </w:tcPr>
          <w:p w14:paraId="7471C339">
            <w:pPr>
              <w:widowControl/>
              <w:jc w:val="center"/>
              <w:rPr>
                <w:rFonts w:ascii="宋体" w:hAnsi="宋体"/>
              </w:rPr>
            </w:pPr>
            <w:r>
              <w:rPr>
                <w:rFonts w:hint="eastAsia" w:ascii="宋体" w:hAnsi="宋体"/>
              </w:rPr>
              <w:t>18</w:t>
            </w:r>
          </w:p>
        </w:tc>
        <w:tc>
          <w:tcPr>
            <w:tcW w:w="2279" w:type="dxa"/>
            <w:tcBorders>
              <w:top w:val="nil"/>
              <w:left w:val="nil"/>
              <w:bottom w:val="single" w:color="auto" w:sz="4" w:space="0"/>
              <w:right w:val="single" w:color="auto" w:sz="4" w:space="0"/>
            </w:tcBorders>
            <w:vAlign w:val="center"/>
          </w:tcPr>
          <w:p w14:paraId="4407662A">
            <w:pPr>
              <w:widowControl/>
              <w:jc w:val="center"/>
              <w:rPr>
                <w:rFonts w:ascii="宋体" w:hAnsi="宋体"/>
              </w:rPr>
            </w:pPr>
            <w:r>
              <w:rPr>
                <w:rFonts w:hint="eastAsia" w:ascii="宋体" w:hAnsi="宋体"/>
              </w:rPr>
              <w:t xml:space="preserve">门锁安全装置的失效检测 </w:t>
            </w:r>
          </w:p>
        </w:tc>
        <w:tc>
          <w:tcPr>
            <w:tcW w:w="5950" w:type="dxa"/>
            <w:tcBorders>
              <w:top w:val="nil"/>
              <w:left w:val="nil"/>
              <w:bottom w:val="single" w:color="auto" w:sz="4" w:space="0"/>
              <w:right w:val="single" w:color="auto" w:sz="4" w:space="0"/>
            </w:tcBorders>
            <w:vAlign w:val="center"/>
          </w:tcPr>
          <w:p w14:paraId="397E6602">
            <w:pPr>
              <w:widowControl/>
              <w:jc w:val="center"/>
              <w:rPr>
                <w:rFonts w:ascii="宋体" w:hAnsi="宋体"/>
              </w:rPr>
            </w:pPr>
            <w:r>
              <w:rPr>
                <w:rFonts w:hint="eastAsia" w:ascii="宋体" w:hAnsi="宋体"/>
              </w:rPr>
              <w:t>当轿厢在开锁区域内，轿门开启且层门门锁释放时，应当监测检查轿门关闭位置的电气安全装置、检查层门锁紧装置的锁紧位置的电气安全装置和监控信号的正确动作。如果监测到故障，应当防止电梯的正常运行。</w:t>
            </w:r>
          </w:p>
        </w:tc>
      </w:tr>
      <w:tr w14:paraId="7654F6B3">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58D685D0">
            <w:pPr>
              <w:widowControl/>
              <w:jc w:val="center"/>
              <w:rPr>
                <w:rFonts w:ascii="宋体" w:hAnsi="宋体"/>
              </w:rPr>
            </w:pPr>
            <w:r>
              <w:rPr>
                <w:rFonts w:hint="eastAsia" w:ascii="宋体" w:hAnsi="宋体"/>
              </w:rPr>
              <w:t>19</w:t>
            </w:r>
          </w:p>
        </w:tc>
        <w:tc>
          <w:tcPr>
            <w:tcW w:w="2279" w:type="dxa"/>
            <w:tcBorders>
              <w:top w:val="nil"/>
              <w:left w:val="nil"/>
              <w:bottom w:val="single" w:color="auto" w:sz="4" w:space="0"/>
              <w:right w:val="single" w:color="auto" w:sz="4" w:space="0"/>
            </w:tcBorders>
            <w:vAlign w:val="center"/>
          </w:tcPr>
          <w:p w14:paraId="6FC853C7">
            <w:pPr>
              <w:widowControl/>
              <w:jc w:val="center"/>
              <w:rPr>
                <w:rFonts w:ascii="宋体" w:hAnsi="宋体"/>
              </w:rPr>
            </w:pPr>
            <w:r>
              <w:rPr>
                <w:rFonts w:hint="eastAsia" w:ascii="宋体" w:hAnsi="宋体"/>
              </w:rPr>
              <w:t>门锁旁路功能</w:t>
            </w:r>
          </w:p>
        </w:tc>
        <w:tc>
          <w:tcPr>
            <w:tcW w:w="5950" w:type="dxa"/>
            <w:tcBorders>
              <w:top w:val="nil"/>
              <w:left w:val="nil"/>
              <w:bottom w:val="single" w:color="auto" w:sz="4" w:space="0"/>
              <w:right w:val="single" w:color="auto" w:sz="4" w:space="0"/>
            </w:tcBorders>
            <w:vAlign w:val="center"/>
          </w:tcPr>
          <w:p w14:paraId="3605D8F5">
            <w:pPr>
              <w:widowControl/>
              <w:jc w:val="center"/>
              <w:rPr>
                <w:rFonts w:ascii="宋体" w:hAnsi="宋体"/>
              </w:rPr>
            </w:pPr>
            <w:r>
              <w:rPr>
                <w:rFonts w:hint="eastAsia" w:ascii="宋体" w:hAnsi="宋体"/>
              </w:rPr>
              <w:t>了维护层门和轿门的触点，控制柜提供门锁旁路装置，确保维修保养效率</w:t>
            </w:r>
          </w:p>
        </w:tc>
      </w:tr>
      <w:tr w14:paraId="77F0949C">
        <w:tblPrEx>
          <w:tblCellMar>
            <w:top w:w="0" w:type="dxa"/>
            <w:left w:w="108" w:type="dxa"/>
            <w:bottom w:w="0" w:type="dxa"/>
            <w:right w:w="108" w:type="dxa"/>
          </w:tblCellMar>
        </w:tblPrEx>
        <w:trPr>
          <w:trHeight w:val="840" w:hRule="atLeast"/>
          <w:jc w:val="center"/>
        </w:trPr>
        <w:tc>
          <w:tcPr>
            <w:tcW w:w="747" w:type="dxa"/>
            <w:tcBorders>
              <w:top w:val="single" w:color="auto" w:sz="4" w:space="0"/>
              <w:left w:val="single" w:color="auto" w:sz="4" w:space="0"/>
              <w:bottom w:val="single" w:color="auto" w:sz="4" w:space="0"/>
              <w:right w:val="single" w:color="auto" w:sz="4" w:space="0"/>
            </w:tcBorders>
            <w:noWrap/>
            <w:vAlign w:val="center"/>
          </w:tcPr>
          <w:p w14:paraId="398E10D7">
            <w:pPr>
              <w:widowControl/>
              <w:jc w:val="center"/>
              <w:rPr>
                <w:rFonts w:ascii="宋体" w:hAnsi="宋体"/>
              </w:rPr>
            </w:pPr>
            <w:r>
              <w:rPr>
                <w:rFonts w:hint="eastAsia" w:ascii="宋体" w:hAnsi="宋体"/>
              </w:rPr>
              <w:t>20</w:t>
            </w:r>
          </w:p>
        </w:tc>
        <w:tc>
          <w:tcPr>
            <w:tcW w:w="2279" w:type="dxa"/>
            <w:tcBorders>
              <w:top w:val="single" w:color="auto" w:sz="4" w:space="0"/>
              <w:left w:val="nil"/>
              <w:bottom w:val="single" w:color="auto" w:sz="4" w:space="0"/>
              <w:right w:val="single" w:color="auto" w:sz="4" w:space="0"/>
            </w:tcBorders>
            <w:vAlign w:val="center"/>
          </w:tcPr>
          <w:p w14:paraId="5348125C">
            <w:pPr>
              <w:widowControl/>
              <w:jc w:val="center"/>
              <w:rPr>
                <w:rFonts w:ascii="宋体" w:hAnsi="宋体"/>
              </w:rPr>
            </w:pPr>
            <w:r>
              <w:rPr>
                <w:rFonts w:hint="eastAsia" w:ascii="宋体" w:hAnsi="宋体"/>
              </w:rPr>
              <w:t>井道急停开关</w:t>
            </w:r>
          </w:p>
        </w:tc>
        <w:tc>
          <w:tcPr>
            <w:tcW w:w="5950" w:type="dxa"/>
            <w:tcBorders>
              <w:top w:val="single" w:color="auto" w:sz="4" w:space="0"/>
              <w:left w:val="nil"/>
              <w:bottom w:val="single" w:color="auto" w:sz="4" w:space="0"/>
              <w:right w:val="single" w:color="auto" w:sz="4" w:space="0"/>
            </w:tcBorders>
            <w:vAlign w:val="center"/>
          </w:tcPr>
          <w:p w14:paraId="1B966FF5">
            <w:pPr>
              <w:widowControl/>
              <w:jc w:val="center"/>
              <w:rPr>
                <w:rFonts w:ascii="宋体" w:hAnsi="宋体"/>
              </w:rPr>
            </w:pPr>
            <w:r>
              <w:rPr>
                <w:rFonts w:hint="eastAsia" w:ascii="宋体" w:hAnsi="宋体"/>
              </w:rPr>
              <w:t>井道底坑内急停开关可使电梯抱闸停止，急停按钮在底坑地面和底坑开门都能触及到的位置，如果底坑深度大于1.6m，底坑应有2个急停开关</w:t>
            </w:r>
          </w:p>
        </w:tc>
      </w:tr>
      <w:tr w14:paraId="1EDAF763">
        <w:tblPrEx>
          <w:tblCellMar>
            <w:top w:w="0" w:type="dxa"/>
            <w:left w:w="108" w:type="dxa"/>
            <w:bottom w:w="0" w:type="dxa"/>
            <w:right w:w="108" w:type="dxa"/>
          </w:tblCellMar>
        </w:tblPrEx>
        <w:trPr>
          <w:trHeight w:val="280" w:hRule="atLeast"/>
          <w:jc w:val="center"/>
        </w:trPr>
        <w:tc>
          <w:tcPr>
            <w:tcW w:w="747" w:type="dxa"/>
            <w:tcBorders>
              <w:top w:val="single" w:color="auto" w:sz="4" w:space="0"/>
              <w:left w:val="single" w:color="auto" w:sz="4" w:space="0"/>
              <w:bottom w:val="single" w:color="auto" w:sz="4" w:space="0"/>
              <w:right w:val="single" w:color="auto" w:sz="4" w:space="0"/>
            </w:tcBorders>
            <w:noWrap/>
            <w:vAlign w:val="center"/>
          </w:tcPr>
          <w:p w14:paraId="02826E8E">
            <w:pPr>
              <w:widowControl/>
              <w:jc w:val="center"/>
              <w:rPr>
                <w:rFonts w:ascii="宋体" w:hAnsi="宋体"/>
              </w:rPr>
            </w:pPr>
            <w:r>
              <w:rPr>
                <w:rFonts w:hint="eastAsia" w:ascii="宋体" w:hAnsi="宋体"/>
              </w:rPr>
              <w:t>21</w:t>
            </w:r>
          </w:p>
        </w:tc>
        <w:tc>
          <w:tcPr>
            <w:tcW w:w="2279" w:type="dxa"/>
            <w:tcBorders>
              <w:top w:val="single" w:color="auto" w:sz="4" w:space="0"/>
              <w:left w:val="nil"/>
              <w:bottom w:val="single" w:color="auto" w:sz="4" w:space="0"/>
              <w:right w:val="single" w:color="auto" w:sz="4" w:space="0"/>
            </w:tcBorders>
            <w:vAlign w:val="center"/>
          </w:tcPr>
          <w:p w14:paraId="0EC24725">
            <w:pPr>
              <w:widowControl/>
              <w:jc w:val="center"/>
              <w:rPr>
                <w:rFonts w:ascii="宋体" w:hAnsi="宋体"/>
              </w:rPr>
            </w:pPr>
            <w:r>
              <w:rPr>
                <w:rFonts w:hint="eastAsia" w:ascii="宋体" w:hAnsi="宋体"/>
              </w:rPr>
              <w:t>轿顶急停开关</w:t>
            </w:r>
          </w:p>
        </w:tc>
        <w:tc>
          <w:tcPr>
            <w:tcW w:w="5950" w:type="dxa"/>
            <w:tcBorders>
              <w:top w:val="single" w:color="auto" w:sz="4" w:space="0"/>
              <w:left w:val="nil"/>
              <w:bottom w:val="single" w:color="auto" w:sz="4" w:space="0"/>
              <w:right w:val="single" w:color="auto" w:sz="4" w:space="0"/>
            </w:tcBorders>
            <w:vAlign w:val="center"/>
          </w:tcPr>
          <w:p w14:paraId="05AA632B">
            <w:pPr>
              <w:widowControl/>
              <w:jc w:val="center"/>
              <w:rPr>
                <w:rFonts w:ascii="宋体" w:hAnsi="宋体"/>
              </w:rPr>
            </w:pPr>
            <w:r>
              <w:rPr>
                <w:rFonts w:hint="eastAsia" w:ascii="宋体" w:hAnsi="宋体"/>
              </w:rPr>
              <w:t>轿顶位置装的急停开关</w:t>
            </w:r>
          </w:p>
        </w:tc>
      </w:tr>
      <w:tr w14:paraId="223ACA20">
        <w:tblPrEx>
          <w:tblCellMar>
            <w:top w:w="0" w:type="dxa"/>
            <w:left w:w="108" w:type="dxa"/>
            <w:bottom w:w="0" w:type="dxa"/>
            <w:right w:w="108" w:type="dxa"/>
          </w:tblCellMar>
        </w:tblPrEx>
        <w:trPr>
          <w:trHeight w:val="280" w:hRule="atLeast"/>
          <w:jc w:val="center"/>
        </w:trPr>
        <w:tc>
          <w:tcPr>
            <w:tcW w:w="747" w:type="dxa"/>
            <w:tcBorders>
              <w:top w:val="single" w:color="auto" w:sz="4" w:space="0"/>
              <w:left w:val="single" w:color="auto" w:sz="4" w:space="0"/>
              <w:bottom w:val="single" w:color="auto" w:sz="4" w:space="0"/>
              <w:right w:val="single" w:color="auto" w:sz="4" w:space="0"/>
            </w:tcBorders>
            <w:noWrap/>
            <w:vAlign w:val="center"/>
          </w:tcPr>
          <w:p w14:paraId="36C0CFEF">
            <w:pPr>
              <w:widowControl/>
              <w:jc w:val="center"/>
              <w:rPr>
                <w:rFonts w:ascii="宋体" w:hAnsi="宋体"/>
              </w:rPr>
            </w:pPr>
            <w:r>
              <w:rPr>
                <w:rFonts w:hint="eastAsia" w:ascii="宋体" w:hAnsi="宋体"/>
              </w:rPr>
              <w:t>22</w:t>
            </w:r>
          </w:p>
        </w:tc>
        <w:tc>
          <w:tcPr>
            <w:tcW w:w="2279" w:type="dxa"/>
            <w:tcBorders>
              <w:top w:val="single" w:color="auto" w:sz="4" w:space="0"/>
              <w:left w:val="nil"/>
              <w:bottom w:val="single" w:color="auto" w:sz="4" w:space="0"/>
              <w:right w:val="single" w:color="auto" w:sz="4" w:space="0"/>
            </w:tcBorders>
            <w:vAlign w:val="center"/>
          </w:tcPr>
          <w:p w14:paraId="1CF87D4B">
            <w:pPr>
              <w:widowControl/>
              <w:jc w:val="center"/>
              <w:rPr>
                <w:rFonts w:ascii="宋体" w:hAnsi="宋体"/>
              </w:rPr>
            </w:pPr>
            <w:r>
              <w:rPr>
                <w:rFonts w:hint="eastAsia" w:ascii="宋体" w:hAnsi="宋体"/>
              </w:rPr>
              <w:t>电气安全回路保护</w:t>
            </w:r>
          </w:p>
        </w:tc>
        <w:tc>
          <w:tcPr>
            <w:tcW w:w="5950" w:type="dxa"/>
            <w:tcBorders>
              <w:top w:val="single" w:color="auto" w:sz="4" w:space="0"/>
              <w:left w:val="nil"/>
              <w:bottom w:val="single" w:color="auto" w:sz="4" w:space="0"/>
              <w:right w:val="single" w:color="auto" w:sz="4" w:space="0"/>
            </w:tcBorders>
            <w:vAlign w:val="center"/>
          </w:tcPr>
          <w:p w14:paraId="0172C029">
            <w:pPr>
              <w:widowControl/>
              <w:jc w:val="center"/>
              <w:rPr>
                <w:rFonts w:ascii="宋体" w:hAnsi="宋体"/>
              </w:rPr>
            </w:pPr>
            <w:r>
              <w:rPr>
                <w:rFonts w:hint="eastAsia" w:ascii="宋体" w:hAnsi="宋体"/>
              </w:rPr>
              <w:t>串联在一起的电气安全装置一旦动作，则阻止电梯运行</w:t>
            </w:r>
          </w:p>
        </w:tc>
      </w:tr>
      <w:tr w14:paraId="27F1E886">
        <w:tblPrEx>
          <w:tblCellMar>
            <w:top w:w="0" w:type="dxa"/>
            <w:left w:w="108" w:type="dxa"/>
            <w:bottom w:w="0" w:type="dxa"/>
            <w:right w:w="108" w:type="dxa"/>
          </w:tblCellMar>
        </w:tblPrEx>
        <w:trPr>
          <w:trHeight w:val="280" w:hRule="atLeast"/>
          <w:jc w:val="center"/>
        </w:trPr>
        <w:tc>
          <w:tcPr>
            <w:tcW w:w="747" w:type="dxa"/>
            <w:tcBorders>
              <w:top w:val="single" w:color="auto" w:sz="4" w:space="0"/>
              <w:left w:val="single" w:color="auto" w:sz="4" w:space="0"/>
              <w:bottom w:val="single" w:color="auto" w:sz="4" w:space="0"/>
              <w:right w:val="single" w:color="auto" w:sz="4" w:space="0"/>
            </w:tcBorders>
            <w:noWrap/>
            <w:vAlign w:val="center"/>
          </w:tcPr>
          <w:p w14:paraId="291ABCAB">
            <w:pPr>
              <w:widowControl/>
              <w:jc w:val="center"/>
              <w:rPr>
                <w:rFonts w:ascii="宋体" w:hAnsi="宋体"/>
              </w:rPr>
            </w:pPr>
            <w:r>
              <w:rPr>
                <w:rFonts w:hint="eastAsia" w:ascii="宋体" w:hAnsi="宋体"/>
              </w:rPr>
              <w:t>23</w:t>
            </w:r>
          </w:p>
        </w:tc>
        <w:tc>
          <w:tcPr>
            <w:tcW w:w="2279" w:type="dxa"/>
            <w:tcBorders>
              <w:top w:val="single" w:color="auto" w:sz="4" w:space="0"/>
              <w:left w:val="nil"/>
              <w:bottom w:val="single" w:color="auto" w:sz="4" w:space="0"/>
              <w:right w:val="single" w:color="auto" w:sz="4" w:space="0"/>
            </w:tcBorders>
            <w:vAlign w:val="center"/>
          </w:tcPr>
          <w:p w14:paraId="32CBD71D">
            <w:pPr>
              <w:widowControl/>
              <w:jc w:val="center"/>
              <w:rPr>
                <w:rFonts w:ascii="宋体" w:hAnsi="宋体"/>
              </w:rPr>
            </w:pPr>
            <w:r>
              <w:rPr>
                <w:rFonts w:hint="eastAsia" w:ascii="宋体" w:hAnsi="宋体"/>
              </w:rPr>
              <w:t>轿厢限速器张紧块安全触点</w:t>
            </w:r>
          </w:p>
        </w:tc>
        <w:tc>
          <w:tcPr>
            <w:tcW w:w="5950" w:type="dxa"/>
            <w:tcBorders>
              <w:top w:val="single" w:color="auto" w:sz="4" w:space="0"/>
              <w:left w:val="nil"/>
              <w:bottom w:val="single" w:color="auto" w:sz="4" w:space="0"/>
              <w:right w:val="single" w:color="auto" w:sz="4" w:space="0"/>
            </w:tcBorders>
            <w:vAlign w:val="center"/>
          </w:tcPr>
          <w:p w14:paraId="428A11AE">
            <w:pPr>
              <w:widowControl/>
              <w:jc w:val="center"/>
              <w:rPr>
                <w:rFonts w:ascii="宋体" w:hAnsi="宋体"/>
              </w:rPr>
            </w:pPr>
            <w:r>
              <w:rPr>
                <w:rFonts w:hint="eastAsia" w:ascii="宋体" w:hAnsi="宋体"/>
              </w:rPr>
              <w:t>安全开关，用于检测限速器钢丝绳松弛、松开或断裂</w:t>
            </w:r>
          </w:p>
        </w:tc>
      </w:tr>
      <w:tr w14:paraId="4F5A5E0C">
        <w:tblPrEx>
          <w:tblCellMar>
            <w:top w:w="0" w:type="dxa"/>
            <w:left w:w="108" w:type="dxa"/>
            <w:bottom w:w="0" w:type="dxa"/>
            <w:right w:w="108" w:type="dxa"/>
          </w:tblCellMar>
        </w:tblPrEx>
        <w:trPr>
          <w:trHeight w:val="280" w:hRule="atLeast"/>
          <w:jc w:val="center"/>
        </w:trPr>
        <w:tc>
          <w:tcPr>
            <w:tcW w:w="8976" w:type="dxa"/>
            <w:gridSpan w:val="3"/>
            <w:tcBorders>
              <w:top w:val="single" w:color="auto" w:sz="4" w:space="0"/>
              <w:left w:val="single" w:color="auto" w:sz="8" w:space="0"/>
              <w:bottom w:val="single" w:color="auto" w:sz="4" w:space="0"/>
              <w:right w:val="single" w:color="auto" w:sz="4" w:space="0"/>
            </w:tcBorders>
            <w:noWrap/>
            <w:vAlign w:val="center"/>
          </w:tcPr>
          <w:p w14:paraId="4253830E">
            <w:pPr>
              <w:widowControl/>
              <w:jc w:val="center"/>
              <w:rPr>
                <w:rFonts w:ascii="宋体" w:hAnsi="宋体"/>
              </w:rPr>
            </w:pPr>
            <w:r>
              <w:rPr>
                <w:rFonts w:hint="eastAsia" w:ascii="宋体" w:hAnsi="宋体"/>
              </w:rPr>
              <w:t>运行功能</w:t>
            </w:r>
          </w:p>
        </w:tc>
      </w:tr>
      <w:tr w14:paraId="4EB46E8D">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22E1D481">
            <w:pPr>
              <w:widowControl/>
              <w:jc w:val="center"/>
              <w:rPr>
                <w:rFonts w:ascii="宋体" w:hAnsi="宋体"/>
              </w:rPr>
            </w:pPr>
            <w:r>
              <w:rPr>
                <w:rFonts w:hint="eastAsia" w:ascii="宋体" w:hAnsi="宋体"/>
              </w:rPr>
              <w:t>1</w:t>
            </w:r>
          </w:p>
        </w:tc>
        <w:tc>
          <w:tcPr>
            <w:tcW w:w="2279" w:type="dxa"/>
            <w:tcBorders>
              <w:top w:val="nil"/>
              <w:left w:val="nil"/>
              <w:bottom w:val="single" w:color="auto" w:sz="4" w:space="0"/>
              <w:right w:val="single" w:color="auto" w:sz="4" w:space="0"/>
            </w:tcBorders>
            <w:vAlign w:val="center"/>
          </w:tcPr>
          <w:p w14:paraId="4EC49298">
            <w:pPr>
              <w:widowControl/>
              <w:jc w:val="center"/>
              <w:rPr>
                <w:rFonts w:ascii="宋体" w:hAnsi="宋体"/>
              </w:rPr>
            </w:pPr>
            <w:r>
              <w:rPr>
                <w:rFonts w:hint="eastAsia" w:ascii="宋体" w:hAnsi="宋体"/>
              </w:rPr>
              <w:t xml:space="preserve">自动门 </w:t>
            </w:r>
          </w:p>
        </w:tc>
        <w:tc>
          <w:tcPr>
            <w:tcW w:w="5950" w:type="dxa"/>
            <w:tcBorders>
              <w:top w:val="nil"/>
              <w:left w:val="nil"/>
              <w:bottom w:val="single" w:color="auto" w:sz="4" w:space="0"/>
              <w:right w:val="single" w:color="auto" w:sz="4" w:space="0"/>
            </w:tcBorders>
            <w:vAlign w:val="center"/>
          </w:tcPr>
          <w:p w14:paraId="116EB56B">
            <w:pPr>
              <w:widowControl/>
              <w:jc w:val="center"/>
              <w:rPr>
                <w:rFonts w:ascii="宋体" w:hAnsi="宋体"/>
              </w:rPr>
            </w:pPr>
            <w:r>
              <w:rPr>
                <w:rFonts w:hint="eastAsia" w:ascii="宋体" w:hAnsi="宋体"/>
              </w:rPr>
              <w:t>电梯门在门区自动开关</w:t>
            </w:r>
          </w:p>
        </w:tc>
      </w:tr>
      <w:tr w14:paraId="57EA491C">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single" w:color="auto" w:sz="4" w:space="0"/>
              <w:right w:val="single" w:color="auto" w:sz="4" w:space="0"/>
            </w:tcBorders>
            <w:noWrap/>
            <w:vAlign w:val="center"/>
          </w:tcPr>
          <w:p w14:paraId="707E1ADC">
            <w:pPr>
              <w:widowControl/>
              <w:jc w:val="center"/>
              <w:rPr>
                <w:rFonts w:ascii="宋体" w:hAnsi="宋体"/>
              </w:rPr>
            </w:pPr>
            <w:r>
              <w:rPr>
                <w:rFonts w:hint="eastAsia" w:ascii="宋体" w:hAnsi="宋体"/>
              </w:rPr>
              <w:t>2</w:t>
            </w:r>
          </w:p>
        </w:tc>
        <w:tc>
          <w:tcPr>
            <w:tcW w:w="2279" w:type="dxa"/>
            <w:tcBorders>
              <w:top w:val="nil"/>
              <w:left w:val="nil"/>
              <w:bottom w:val="single" w:color="auto" w:sz="4" w:space="0"/>
              <w:right w:val="single" w:color="auto" w:sz="4" w:space="0"/>
            </w:tcBorders>
            <w:vAlign w:val="center"/>
          </w:tcPr>
          <w:p w14:paraId="376C9B18">
            <w:pPr>
              <w:widowControl/>
              <w:jc w:val="center"/>
              <w:rPr>
                <w:rFonts w:ascii="宋体" w:hAnsi="宋体"/>
              </w:rPr>
            </w:pPr>
            <w:r>
              <w:rPr>
                <w:rFonts w:hint="eastAsia" w:ascii="宋体" w:hAnsi="宋体"/>
              </w:rPr>
              <w:t>集选错误信号</w:t>
            </w:r>
          </w:p>
        </w:tc>
        <w:tc>
          <w:tcPr>
            <w:tcW w:w="5950" w:type="dxa"/>
            <w:tcBorders>
              <w:top w:val="nil"/>
              <w:left w:val="nil"/>
              <w:bottom w:val="single" w:color="auto" w:sz="4" w:space="0"/>
              <w:right w:val="single" w:color="auto" w:sz="4" w:space="0"/>
            </w:tcBorders>
            <w:vAlign w:val="center"/>
          </w:tcPr>
          <w:p w14:paraId="1556489D">
            <w:pPr>
              <w:widowControl/>
              <w:jc w:val="center"/>
              <w:rPr>
                <w:rFonts w:ascii="宋体" w:hAnsi="宋体"/>
              </w:rPr>
            </w:pPr>
            <w:r>
              <w:rPr>
                <w:rFonts w:hint="eastAsia" w:ascii="宋体" w:hAnsi="宋体"/>
              </w:rPr>
              <w:t>通过从主机板中输出一个继电器信号提示有故障发生(如马达的温度过高故障等)</w:t>
            </w:r>
          </w:p>
        </w:tc>
      </w:tr>
      <w:tr w14:paraId="4B58E9A0">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443D93C9">
            <w:pPr>
              <w:widowControl/>
              <w:jc w:val="center"/>
              <w:rPr>
                <w:rFonts w:ascii="宋体" w:hAnsi="宋体"/>
              </w:rPr>
            </w:pPr>
            <w:r>
              <w:rPr>
                <w:rFonts w:hint="eastAsia" w:ascii="宋体" w:hAnsi="宋体"/>
              </w:rPr>
              <w:t>3</w:t>
            </w:r>
          </w:p>
        </w:tc>
        <w:tc>
          <w:tcPr>
            <w:tcW w:w="2279" w:type="dxa"/>
            <w:tcBorders>
              <w:top w:val="nil"/>
              <w:left w:val="nil"/>
              <w:bottom w:val="single" w:color="auto" w:sz="4" w:space="0"/>
              <w:right w:val="single" w:color="auto" w:sz="4" w:space="0"/>
            </w:tcBorders>
            <w:vAlign w:val="center"/>
          </w:tcPr>
          <w:p w14:paraId="7E1AE89B">
            <w:pPr>
              <w:widowControl/>
              <w:jc w:val="center"/>
              <w:rPr>
                <w:rFonts w:ascii="宋体" w:hAnsi="宋体"/>
              </w:rPr>
            </w:pPr>
            <w:r>
              <w:rPr>
                <w:rFonts w:hint="eastAsia" w:ascii="宋体" w:hAnsi="宋体"/>
              </w:rPr>
              <w:t xml:space="preserve">运行计时计数 </w:t>
            </w:r>
          </w:p>
        </w:tc>
        <w:tc>
          <w:tcPr>
            <w:tcW w:w="5950" w:type="dxa"/>
            <w:tcBorders>
              <w:top w:val="nil"/>
              <w:left w:val="nil"/>
              <w:bottom w:val="single" w:color="auto" w:sz="4" w:space="0"/>
              <w:right w:val="single" w:color="auto" w:sz="4" w:space="0"/>
            </w:tcBorders>
            <w:vAlign w:val="center"/>
          </w:tcPr>
          <w:p w14:paraId="112191DF">
            <w:pPr>
              <w:widowControl/>
              <w:jc w:val="center"/>
              <w:rPr>
                <w:rFonts w:ascii="宋体" w:hAnsi="宋体"/>
              </w:rPr>
            </w:pPr>
            <w:r>
              <w:rPr>
                <w:rFonts w:hint="eastAsia" w:ascii="宋体" w:hAnsi="宋体"/>
              </w:rPr>
              <w:t>在电梯的控制柜中累计记录电梯的运行时间及次数</w:t>
            </w:r>
          </w:p>
        </w:tc>
      </w:tr>
      <w:tr w14:paraId="6B03BC3D">
        <w:tblPrEx>
          <w:tblCellMar>
            <w:top w:w="0" w:type="dxa"/>
            <w:left w:w="108" w:type="dxa"/>
            <w:bottom w:w="0" w:type="dxa"/>
            <w:right w:w="108" w:type="dxa"/>
          </w:tblCellMar>
        </w:tblPrEx>
        <w:trPr>
          <w:trHeight w:val="280" w:hRule="atLeast"/>
          <w:jc w:val="center"/>
        </w:trPr>
        <w:tc>
          <w:tcPr>
            <w:tcW w:w="8976" w:type="dxa"/>
            <w:gridSpan w:val="3"/>
            <w:tcBorders>
              <w:top w:val="single" w:color="auto" w:sz="4" w:space="0"/>
              <w:left w:val="single" w:color="auto" w:sz="8" w:space="0"/>
              <w:bottom w:val="single" w:color="auto" w:sz="4" w:space="0"/>
              <w:right w:val="single" w:color="auto" w:sz="4" w:space="0"/>
            </w:tcBorders>
            <w:noWrap/>
            <w:vAlign w:val="center"/>
          </w:tcPr>
          <w:p w14:paraId="7C3CCA52">
            <w:pPr>
              <w:widowControl/>
              <w:jc w:val="center"/>
              <w:rPr>
                <w:rFonts w:ascii="宋体" w:hAnsi="宋体"/>
              </w:rPr>
            </w:pPr>
            <w:r>
              <w:rPr>
                <w:rFonts w:hint="eastAsia" w:ascii="宋体" w:hAnsi="宋体"/>
              </w:rPr>
              <w:t>人机交互界面</w:t>
            </w:r>
          </w:p>
        </w:tc>
      </w:tr>
      <w:tr w14:paraId="12F21529">
        <w:tblPrEx>
          <w:tblCellMar>
            <w:top w:w="0" w:type="dxa"/>
            <w:left w:w="108" w:type="dxa"/>
            <w:bottom w:w="0" w:type="dxa"/>
            <w:right w:w="108" w:type="dxa"/>
          </w:tblCellMar>
        </w:tblPrEx>
        <w:trPr>
          <w:trHeight w:val="840" w:hRule="atLeast"/>
          <w:jc w:val="center"/>
        </w:trPr>
        <w:tc>
          <w:tcPr>
            <w:tcW w:w="747" w:type="dxa"/>
            <w:tcBorders>
              <w:top w:val="nil"/>
              <w:left w:val="single" w:color="auto" w:sz="8" w:space="0"/>
              <w:bottom w:val="single" w:color="auto" w:sz="4" w:space="0"/>
              <w:right w:val="single" w:color="auto" w:sz="4" w:space="0"/>
            </w:tcBorders>
            <w:noWrap/>
            <w:vAlign w:val="center"/>
          </w:tcPr>
          <w:p w14:paraId="33F0EE03">
            <w:pPr>
              <w:widowControl/>
              <w:jc w:val="center"/>
              <w:rPr>
                <w:rFonts w:ascii="宋体" w:hAnsi="宋体"/>
              </w:rPr>
            </w:pPr>
            <w:r>
              <w:rPr>
                <w:rFonts w:hint="eastAsia" w:ascii="宋体" w:hAnsi="宋体"/>
              </w:rPr>
              <w:t>1</w:t>
            </w:r>
          </w:p>
        </w:tc>
        <w:tc>
          <w:tcPr>
            <w:tcW w:w="2279" w:type="dxa"/>
            <w:tcBorders>
              <w:top w:val="nil"/>
              <w:left w:val="nil"/>
              <w:bottom w:val="single" w:color="auto" w:sz="4" w:space="0"/>
              <w:right w:val="single" w:color="auto" w:sz="4" w:space="0"/>
            </w:tcBorders>
            <w:vAlign w:val="center"/>
          </w:tcPr>
          <w:p w14:paraId="415D3B78">
            <w:pPr>
              <w:widowControl/>
              <w:jc w:val="center"/>
              <w:rPr>
                <w:rFonts w:ascii="宋体" w:hAnsi="宋体"/>
              </w:rPr>
            </w:pPr>
            <w:r>
              <w:rPr>
                <w:rFonts w:hint="eastAsia" w:ascii="宋体" w:hAnsi="宋体"/>
              </w:rPr>
              <w:t xml:space="preserve">关门按钮 </w:t>
            </w:r>
          </w:p>
        </w:tc>
        <w:tc>
          <w:tcPr>
            <w:tcW w:w="5950" w:type="dxa"/>
            <w:tcBorders>
              <w:top w:val="nil"/>
              <w:left w:val="nil"/>
              <w:bottom w:val="single" w:color="auto" w:sz="4" w:space="0"/>
              <w:right w:val="single" w:color="auto" w:sz="4" w:space="0"/>
            </w:tcBorders>
            <w:vAlign w:val="center"/>
          </w:tcPr>
          <w:p w14:paraId="4A8E62BC">
            <w:pPr>
              <w:widowControl/>
              <w:jc w:val="center"/>
              <w:rPr>
                <w:rFonts w:ascii="宋体" w:hAnsi="宋体"/>
              </w:rPr>
            </w:pPr>
            <w:r>
              <w:rPr>
                <w:rFonts w:hint="eastAsia" w:ascii="宋体" w:hAnsi="宋体"/>
              </w:rPr>
              <w:t>电梯停站开门后，按下关门按钮，电梯立即关门。电梯关门按钮仅在门完全打开时起作用，以下情况关门按钮不起作用:1超载;2开门中;3.优先运行。</w:t>
            </w:r>
          </w:p>
        </w:tc>
      </w:tr>
      <w:tr w14:paraId="429357B2">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2AC67F18">
            <w:pPr>
              <w:widowControl/>
              <w:jc w:val="center"/>
              <w:rPr>
                <w:rFonts w:ascii="宋体" w:hAnsi="宋体"/>
              </w:rPr>
            </w:pPr>
            <w:r>
              <w:rPr>
                <w:rFonts w:hint="eastAsia" w:ascii="宋体" w:hAnsi="宋体"/>
              </w:rPr>
              <w:t>2</w:t>
            </w:r>
          </w:p>
        </w:tc>
        <w:tc>
          <w:tcPr>
            <w:tcW w:w="2279" w:type="dxa"/>
            <w:tcBorders>
              <w:top w:val="nil"/>
              <w:left w:val="nil"/>
              <w:bottom w:val="single" w:color="auto" w:sz="4" w:space="0"/>
              <w:right w:val="single" w:color="auto" w:sz="4" w:space="0"/>
            </w:tcBorders>
            <w:vAlign w:val="center"/>
          </w:tcPr>
          <w:p w14:paraId="5B1CE446">
            <w:pPr>
              <w:widowControl/>
              <w:jc w:val="center"/>
              <w:rPr>
                <w:rFonts w:ascii="宋体" w:hAnsi="宋体"/>
              </w:rPr>
            </w:pPr>
            <w:r>
              <w:rPr>
                <w:rFonts w:hint="eastAsia" w:ascii="宋体" w:hAnsi="宋体"/>
              </w:rPr>
              <w:t>开门按钮</w:t>
            </w:r>
          </w:p>
        </w:tc>
        <w:tc>
          <w:tcPr>
            <w:tcW w:w="5950" w:type="dxa"/>
            <w:tcBorders>
              <w:top w:val="nil"/>
              <w:left w:val="nil"/>
              <w:bottom w:val="single" w:color="auto" w:sz="4" w:space="0"/>
              <w:right w:val="single" w:color="auto" w:sz="4" w:space="0"/>
            </w:tcBorders>
            <w:vAlign w:val="center"/>
          </w:tcPr>
          <w:p w14:paraId="5FBD84D0">
            <w:pPr>
              <w:widowControl/>
              <w:jc w:val="center"/>
              <w:rPr>
                <w:rFonts w:ascii="宋体" w:hAnsi="宋体"/>
              </w:rPr>
            </w:pPr>
            <w:r>
              <w:rPr>
                <w:rFonts w:hint="eastAsia" w:ascii="宋体" w:hAnsi="宋体"/>
              </w:rPr>
              <w:t>当电梯在开门区域内，按下开门按钮，电梯门重新打开</w:t>
            </w:r>
          </w:p>
        </w:tc>
      </w:tr>
      <w:tr w14:paraId="133A8AB9">
        <w:tblPrEx>
          <w:tblCellMar>
            <w:top w:w="0" w:type="dxa"/>
            <w:left w:w="108" w:type="dxa"/>
            <w:bottom w:w="0" w:type="dxa"/>
            <w:right w:w="108" w:type="dxa"/>
          </w:tblCellMar>
        </w:tblPrEx>
        <w:trPr>
          <w:trHeight w:val="280" w:hRule="atLeast"/>
          <w:jc w:val="center"/>
        </w:trPr>
        <w:tc>
          <w:tcPr>
            <w:tcW w:w="747" w:type="dxa"/>
            <w:tcBorders>
              <w:top w:val="nil"/>
              <w:left w:val="single" w:color="auto" w:sz="8" w:space="0"/>
              <w:bottom w:val="single" w:color="auto" w:sz="4" w:space="0"/>
              <w:right w:val="single" w:color="auto" w:sz="4" w:space="0"/>
            </w:tcBorders>
            <w:noWrap/>
            <w:vAlign w:val="center"/>
          </w:tcPr>
          <w:p w14:paraId="687C3C83">
            <w:pPr>
              <w:widowControl/>
              <w:jc w:val="center"/>
              <w:rPr>
                <w:rFonts w:ascii="宋体" w:hAnsi="宋体"/>
              </w:rPr>
            </w:pPr>
            <w:r>
              <w:rPr>
                <w:rFonts w:hint="eastAsia" w:ascii="宋体" w:hAnsi="宋体"/>
              </w:rPr>
              <w:t>3</w:t>
            </w:r>
          </w:p>
        </w:tc>
        <w:tc>
          <w:tcPr>
            <w:tcW w:w="2279" w:type="dxa"/>
            <w:tcBorders>
              <w:top w:val="nil"/>
              <w:left w:val="nil"/>
              <w:bottom w:val="single" w:color="auto" w:sz="4" w:space="0"/>
              <w:right w:val="single" w:color="auto" w:sz="4" w:space="0"/>
            </w:tcBorders>
            <w:vAlign w:val="center"/>
          </w:tcPr>
          <w:p w14:paraId="7256451F">
            <w:pPr>
              <w:widowControl/>
              <w:jc w:val="center"/>
              <w:rPr>
                <w:rFonts w:ascii="宋体" w:hAnsi="宋体"/>
              </w:rPr>
            </w:pPr>
            <w:r>
              <w:rPr>
                <w:rFonts w:hint="eastAsia" w:ascii="宋体" w:hAnsi="宋体"/>
              </w:rPr>
              <w:t xml:space="preserve">误指令消除(双击取消) </w:t>
            </w:r>
          </w:p>
        </w:tc>
        <w:tc>
          <w:tcPr>
            <w:tcW w:w="5950" w:type="dxa"/>
            <w:tcBorders>
              <w:top w:val="nil"/>
              <w:left w:val="nil"/>
              <w:bottom w:val="single" w:color="auto" w:sz="4" w:space="0"/>
              <w:right w:val="single" w:color="auto" w:sz="4" w:space="0"/>
            </w:tcBorders>
            <w:vAlign w:val="center"/>
          </w:tcPr>
          <w:p w14:paraId="3931EFEA">
            <w:pPr>
              <w:widowControl/>
              <w:jc w:val="center"/>
              <w:rPr>
                <w:rFonts w:ascii="宋体" w:hAnsi="宋体"/>
              </w:rPr>
            </w:pPr>
            <w:r>
              <w:rPr>
                <w:rFonts w:hint="eastAsia" w:ascii="宋体" w:hAnsi="宋体"/>
              </w:rPr>
              <w:t>连续两次按下已登记的内呼按钮时，该内呼将被取消</w:t>
            </w:r>
          </w:p>
        </w:tc>
      </w:tr>
      <w:tr w14:paraId="6EEAFFE0">
        <w:tblPrEx>
          <w:tblCellMar>
            <w:top w:w="0" w:type="dxa"/>
            <w:left w:w="108" w:type="dxa"/>
            <w:bottom w:w="0" w:type="dxa"/>
            <w:right w:w="108" w:type="dxa"/>
          </w:tblCellMar>
        </w:tblPrEx>
        <w:trPr>
          <w:trHeight w:val="560" w:hRule="atLeast"/>
          <w:jc w:val="center"/>
        </w:trPr>
        <w:tc>
          <w:tcPr>
            <w:tcW w:w="747" w:type="dxa"/>
            <w:tcBorders>
              <w:top w:val="nil"/>
              <w:left w:val="single" w:color="auto" w:sz="8" w:space="0"/>
              <w:bottom w:val="nil"/>
              <w:right w:val="single" w:color="auto" w:sz="4" w:space="0"/>
            </w:tcBorders>
            <w:noWrap/>
            <w:vAlign w:val="center"/>
          </w:tcPr>
          <w:p w14:paraId="2C6691AD">
            <w:pPr>
              <w:widowControl/>
              <w:jc w:val="center"/>
              <w:rPr>
                <w:rFonts w:ascii="宋体" w:hAnsi="宋体"/>
              </w:rPr>
            </w:pPr>
            <w:r>
              <w:rPr>
                <w:rFonts w:hint="eastAsia" w:ascii="宋体" w:hAnsi="宋体"/>
              </w:rPr>
              <w:t>4</w:t>
            </w:r>
          </w:p>
        </w:tc>
        <w:tc>
          <w:tcPr>
            <w:tcW w:w="2279" w:type="dxa"/>
            <w:tcBorders>
              <w:top w:val="nil"/>
              <w:left w:val="nil"/>
              <w:bottom w:val="nil"/>
              <w:right w:val="single" w:color="auto" w:sz="4" w:space="0"/>
            </w:tcBorders>
            <w:noWrap/>
            <w:vAlign w:val="center"/>
          </w:tcPr>
          <w:p w14:paraId="033B421F">
            <w:pPr>
              <w:widowControl/>
              <w:jc w:val="center"/>
              <w:rPr>
                <w:rFonts w:ascii="宋体" w:hAnsi="宋体"/>
              </w:rPr>
            </w:pPr>
            <w:r>
              <w:rPr>
                <w:rFonts w:hint="eastAsia" w:ascii="宋体" w:hAnsi="宋体"/>
              </w:rPr>
              <w:t>语音报站</w:t>
            </w:r>
          </w:p>
        </w:tc>
        <w:tc>
          <w:tcPr>
            <w:tcW w:w="5950" w:type="dxa"/>
            <w:tcBorders>
              <w:top w:val="nil"/>
              <w:left w:val="nil"/>
              <w:bottom w:val="nil"/>
              <w:right w:val="single" w:color="auto" w:sz="4" w:space="0"/>
            </w:tcBorders>
            <w:vAlign w:val="center"/>
          </w:tcPr>
          <w:p w14:paraId="481B245C">
            <w:pPr>
              <w:widowControl/>
              <w:jc w:val="center"/>
              <w:rPr>
                <w:rFonts w:ascii="宋体" w:hAnsi="宋体"/>
              </w:rPr>
            </w:pPr>
            <w:r>
              <w:rPr>
                <w:rFonts w:hint="eastAsia" w:ascii="宋体" w:hAnsi="宋体"/>
              </w:rPr>
              <w:t>电梯系统通过语音合成装置以预先录制好的语音向电梯乘客预报电梯将要到达的层站和运行的方向等信息</w:t>
            </w:r>
          </w:p>
        </w:tc>
      </w:tr>
    </w:tbl>
    <w:p w14:paraId="12784E49">
      <w:pPr>
        <w:pStyle w:val="5"/>
      </w:pPr>
      <w:r>
        <w:rPr>
          <w:rFonts w:hint="eastAsia"/>
        </w:rPr>
        <w:t xml:space="preserve"> </w:t>
      </w:r>
      <w:bookmarkStart w:id="136" w:name="_Toc23910"/>
      <w:r>
        <w:rPr>
          <w:rFonts w:hint="eastAsia"/>
        </w:rPr>
        <w:t>二、技术规范</w:t>
      </w:r>
      <w:bookmarkEnd w:id="136"/>
    </w:p>
    <w:p w14:paraId="314A8F28">
      <w:pPr>
        <w:spacing w:line="360" w:lineRule="auto"/>
        <w:ind w:firstLine="472" w:firstLineChars="196"/>
        <w:rPr>
          <w:rFonts w:hint="eastAsia" w:ascii="宋体" w:hAnsi="宋体"/>
          <w:b/>
          <w:sz w:val="24"/>
          <w:szCs w:val="24"/>
        </w:rPr>
      </w:pPr>
      <w:r>
        <w:rPr>
          <w:rFonts w:hint="eastAsia" w:ascii="宋体" w:hAnsi="宋体"/>
          <w:b/>
          <w:sz w:val="24"/>
          <w:szCs w:val="24"/>
        </w:rPr>
        <w:t>一、</w:t>
      </w:r>
      <w:r>
        <w:rPr>
          <w:rFonts w:hint="eastAsia" w:ascii="宋体" w:hAnsi="宋体"/>
          <w:b/>
          <w:sz w:val="24"/>
          <w:szCs w:val="24"/>
          <w:lang w:val="en-US" w:eastAsia="zh-CN"/>
        </w:rPr>
        <w:t>采购</w:t>
      </w:r>
      <w:r>
        <w:rPr>
          <w:rFonts w:hint="eastAsia" w:ascii="宋体" w:hAnsi="宋体"/>
          <w:b/>
          <w:sz w:val="24"/>
          <w:szCs w:val="24"/>
        </w:rPr>
        <w:t>范围</w:t>
      </w:r>
    </w:p>
    <w:p w14:paraId="44C5E1F1">
      <w:pPr>
        <w:spacing w:line="360" w:lineRule="auto"/>
        <w:ind w:firstLine="477" w:firstLineChars="199"/>
        <w:rPr>
          <w:rFonts w:hint="eastAsia" w:ascii="宋体" w:hAnsi="宋体"/>
          <w:sz w:val="24"/>
          <w:szCs w:val="24"/>
        </w:rPr>
      </w:pPr>
      <w:r>
        <w:rPr>
          <w:rFonts w:hint="eastAsia" w:ascii="宋体" w:hAnsi="宋体"/>
          <w:sz w:val="24"/>
          <w:szCs w:val="24"/>
          <w:lang w:val="en-US" w:eastAsia="zh-CN"/>
        </w:rPr>
        <w:t>响应</w:t>
      </w:r>
      <w:r>
        <w:rPr>
          <w:rFonts w:hint="eastAsia" w:ascii="宋体" w:hAnsi="宋体"/>
          <w:sz w:val="24"/>
          <w:szCs w:val="24"/>
        </w:rPr>
        <w:t>人需按本技术规格书的要求完成电梯的设计、制造、运输、安装、调试、报验、试运行、验收合格、</w:t>
      </w:r>
      <w:r>
        <w:rPr>
          <w:rFonts w:hint="eastAsia" w:ascii="宋体" w:hAnsi="宋体"/>
          <w:sz w:val="24"/>
          <w:szCs w:val="24"/>
          <w:lang w:val="en-US" w:eastAsia="zh-CN"/>
        </w:rPr>
        <w:t>技术交底</w:t>
      </w:r>
      <w:r>
        <w:rPr>
          <w:rFonts w:hint="eastAsia" w:ascii="宋体" w:hAnsi="宋体"/>
          <w:sz w:val="24"/>
          <w:szCs w:val="24"/>
        </w:rPr>
        <w:t>及售后服务等工作。并按工作顺序提交所需的所有资料，无论其是否被明细列在合同文件中。资料必须符合本技术规格书及国家相关规范的要求。</w:t>
      </w:r>
    </w:p>
    <w:p w14:paraId="19235C47">
      <w:pPr>
        <w:spacing w:line="360" w:lineRule="auto"/>
        <w:ind w:firstLine="480" w:firstLineChars="200"/>
        <w:rPr>
          <w:rFonts w:hint="eastAsia" w:ascii="宋体" w:hAnsi="宋体"/>
          <w:b/>
          <w:sz w:val="24"/>
          <w:szCs w:val="24"/>
        </w:rPr>
      </w:pPr>
      <w:r>
        <w:rPr>
          <w:rFonts w:hint="eastAsia" w:ascii="宋体" w:hAnsi="宋体"/>
          <w:sz w:val="24"/>
          <w:szCs w:val="24"/>
        </w:rPr>
        <w:t>电梯</w:t>
      </w:r>
      <w:r>
        <w:rPr>
          <w:rFonts w:hint="eastAsia" w:ascii="宋体" w:hAnsi="宋体"/>
          <w:sz w:val="24"/>
          <w:szCs w:val="24"/>
          <w:lang w:val="en-US" w:eastAsia="zh-CN"/>
        </w:rPr>
        <w:t>安装</w:t>
      </w:r>
      <w:r>
        <w:rPr>
          <w:rFonts w:hint="eastAsia" w:ascii="宋体" w:hAnsi="宋体"/>
          <w:sz w:val="24"/>
          <w:szCs w:val="24"/>
        </w:rPr>
        <w:t>纳入总承包管理范围内，</w:t>
      </w:r>
      <w:r>
        <w:rPr>
          <w:rFonts w:hint="eastAsia" w:ascii="宋体" w:hAnsi="宋体"/>
          <w:sz w:val="24"/>
          <w:szCs w:val="24"/>
          <w:lang w:val="en-US" w:eastAsia="zh-CN"/>
        </w:rPr>
        <w:t>响应</w:t>
      </w:r>
      <w:r>
        <w:rPr>
          <w:rFonts w:hint="eastAsia" w:ascii="宋体" w:hAnsi="宋体"/>
          <w:sz w:val="24"/>
          <w:szCs w:val="24"/>
        </w:rPr>
        <w:t>人有义务做好配合工作，不得因配合原因影响工程进度和质量。</w:t>
      </w:r>
    </w:p>
    <w:p w14:paraId="6C86CBAA">
      <w:pPr>
        <w:spacing w:line="360" w:lineRule="auto"/>
        <w:ind w:firstLine="480" w:firstLineChars="200"/>
        <w:rPr>
          <w:rFonts w:hint="eastAsia" w:ascii="宋体" w:hAnsi="宋体"/>
          <w:sz w:val="24"/>
          <w:szCs w:val="24"/>
        </w:rPr>
      </w:pPr>
      <w:r>
        <w:rPr>
          <w:rFonts w:hint="eastAsia" w:ascii="宋体" w:hAnsi="宋体"/>
          <w:sz w:val="24"/>
          <w:szCs w:val="24"/>
        </w:rPr>
        <w:t>电梯</w:t>
      </w:r>
      <w:r>
        <w:rPr>
          <w:rFonts w:hint="eastAsia" w:ascii="宋体" w:hAnsi="宋体"/>
          <w:sz w:val="24"/>
          <w:szCs w:val="24"/>
          <w:lang w:val="en-US" w:eastAsia="zh-CN"/>
        </w:rPr>
        <w:t>安装</w:t>
      </w:r>
      <w:r>
        <w:rPr>
          <w:rFonts w:hint="eastAsia" w:ascii="宋体" w:hAnsi="宋体"/>
          <w:sz w:val="24"/>
          <w:szCs w:val="24"/>
        </w:rPr>
        <w:t>与政府相关部门的对接协调等工作由电梯工程</w:t>
      </w:r>
      <w:r>
        <w:rPr>
          <w:rFonts w:hint="eastAsia" w:ascii="宋体" w:hAnsi="宋体"/>
          <w:sz w:val="24"/>
          <w:szCs w:val="24"/>
          <w:lang w:val="en-US" w:eastAsia="zh-CN"/>
        </w:rPr>
        <w:t>响应</w:t>
      </w:r>
      <w:r>
        <w:rPr>
          <w:rFonts w:hint="eastAsia" w:ascii="宋体" w:hAnsi="宋体"/>
          <w:sz w:val="24"/>
          <w:szCs w:val="24"/>
        </w:rPr>
        <w:t>人自行解决，相关费用自行考虑，含于总</w:t>
      </w:r>
      <w:r>
        <w:rPr>
          <w:rFonts w:hint="eastAsia" w:ascii="宋体" w:hAnsi="宋体"/>
          <w:sz w:val="24"/>
          <w:szCs w:val="24"/>
          <w:lang w:val="en-US" w:eastAsia="zh-CN"/>
        </w:rPr>
        <w:t>报价</w:t>
      </w:r>
      <w:r>
        <w:rPr>
          <w:rFonts w:hint="eastAsia" w:ascii="宋体" w:hAnsi="宋体"/>
          <w:sz w:val="24"/>
          <w:szCs w:val="24"/>
        </w:rPr>
        <w:t>中。</w:t>
      </w:r>
    </w:p>
    <w:p w14:paraId="085DF281">
      <w:pPr>
        <w:spacing w:line="360" w:lineRule="auto"/>
        <w:ind w:firstLine="472" w:firstLineChars="196"/>
        <w:rPr>
          <w:rFonts w:hint="eastAsia" w:ascii="宋体" w:hAnsi="宋体"/>
          <w:b/>
          <w:sz w:val="24"/>
          <w:szCs w:val="24"/>
        </w:rPr>
      </w:pPr>
      <w:r>
        <w:rPr>
          <w:rFonts w:hint="eastAsia" w:ascii="宋体" w:hAnsi="宋体"/>
          <w:b/>
          <w:sz w:val="24"/>
          <w:szCs w:val="24"/>
        </w:rPr>
        <w:t>二、工作内容</w:t>
      </w:r>
    </w:p>
    <w:p w14:paraId="79FEC321">
      <w:pPr>
        <w:spacing w:line="360" w:lineRule="auto"/>
        <w:ind w:firstLine="480" w:firstLineChars="200"/>
        <w:rPr>
          <w:rFonts w:hint="eastAsia" w:ascii="宋体" w:hAnsi="宋体"/>
          <w:sz w:val="24"/>
          <w:szCs w:val="24"/>
        </w:rPr>
      </w:pPr>
      <w:r>
        <w:rPr>
          <w:rFonts w:hint="eastAsia" w:ascii="宋体" w:hAnsi="宋体"/>
          <w:sz w:val="24"/>
          <w:szCs w:val="24"/>
        </w:rPr>
        <w:t>1、设备提供</w:t>
      </w:r>
    </w:p>
    <w:p w14:paraId="26749260">
      <w:pPr>
        <w:pStyle w:val="2"/>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本项目推荐品牌为三菱电梯、日立电梯、通力电梯、奥的斯电梯、迅达电梯、蒂升TKE电梯；(以上品牌仅作推荐不作限制，报价人可选用其他替代品牌，但替代品牌档次应不低于或相当于以上推荐品牌)，另所提供品牌电梯参数须满足采购人要求。</w:t>
      </w:r>
      <w:r>
        <w:rPr>
          <w:rFonts w:hint="eastAsia" w:ascii="宋体" w:hAnsi="宋体" w:cs="Times New Roman"/>
          <w:kern w:val="2"/>
          <w:sz w:val="24"/>
          <w:szCs w:val="24"/>
          <w:lang w:val="en-US" w:eastAsia="zh-CN" w:bidi="ar-SA"/>
        </w:rPr>
        <w:t>。</w:t>
      </w:r>
    </w:p>
    <w:p w14:paraId="4C7EB65F">
      <w:pPr>
        <w:spacing w:line="360" w:lineRule="auto"/>
        <w:ind w:firstLine="560"/>
        <w:rPr>
          <w:rFonts w:hint="eastAsia" w:ascii="宋体" w:hAnsi="宋体"/>
          <w:sz w:val="24"/>
          <w:szCs w:val="24"/>
        </w:rPr>
      </w:pPr>
      <w:r>
        <w:rPr>
          <w:rFonts w:hint="eastAsia" w:ascii="宋体" w:hAnsi="宋体"/>
          <w:sz w:val="24"/>
          <w:szCs w:val="24"/>
        </w:rPr>
        <w:t>提供的电梯须包括以下服务工作：</w:t>
      </w:r>
    </w:p>
    <w:p w14:paraId="1AF34230">
      <w:pPr>
        <w:spacing w:line="360" w:lineRule="auto"/>
        <w:ind w:firstLine="560"/>
        <w:rPr>
          <w:rFonts w:hint="eastAsia" w:ascii="宋体" w:hAnsi="宋体"/>
          <w:sz w:val="24"/>
          <w:szCs w:val="24"/>
        </w:rPr>
      </w:pPr>
      <w:r>
        <w:rPr>
          <w:rFonts w:hint="eastAsia" w:ascii="宋体" w:hAnsi="宋体"/>
          <w:sz w:val="24"/>
          <w:szCs w:val="24"/>
        </w:rPr>
        <w:t>1.1按</w:t>
      </w:r>
      <w:r>
        <w:rPr>
          <w:rFonts w:hint="eastAsia" w:ascii="宋体" w:hAnsi="宋体"/>
          <w:sz w:val="24"/>
          <w:szCs w:val="24"/>
          <w:lang w:val="en-US" w:eastAsia="zh-CN"/>
        </w:rPr>
        <w:t>采购</w:t>
      </w:r>
      <w:r>
        <w:rPr>
          <w:rFonts w:hint="eastAsia" w:ascii="宋体" w:hAnsi="宋体"/>
          <w:sz w:val="24"/>
          <w:szCs w:val="24"/>
        </w:rPr>
        <w:t>人提供的施工图（建施、结施、电施），</w:t>
      </w:r>
      <w:r>
        <w:rPr>
          <w:rFonts w:hint="eastAsia" w:ascii="宋体" w:hAnsi="宋体"/>
          <w:sz w:val="24"/>
          <w:szCs w:val="24"/>
          <w:lang w:val="en-US" w:eastAsia="zh-CN"/>
        </w:rPr>
        <w:t>响应</w:t>
      </w:r>
      <w:r>
        <w:rPr>
          <w:rFonts w:hint="eastAsia" w:ascii="宋体" w:hAnsi="宋体"/>
          <w:sz w:val="24"/>
          <w:szCs w:val="24"/>
        </w:rPr>
        <w:t>人须在</w:t>
      </w:r>
      <w:r>
        <w:rPr>
          <w:rFonts w:hint="eastAsia" w:ascii="宋体" w:hAnsi="宋体"/>
          <w:sz w:val="24"/>
          <w:szCs w:val="24"/>
          <w:lang w:val="en-US" w:eastAsia="zh-CN"/>
        </w:rPr>
        <w:t>成交</w:t>
      </w:r>
      <w:r>
        <w:rPr>
          <w:rFonts w:hint="eastAsia" w:ascii="宋体" w:hAnsi="宋体"/>
          <w:sz w:val="24"/>
          <w:szCs w:val="24"/>
        </w:rPr>
        <w:t>后10个工作日内对建筑物预留电梯井道结构及与电梯相关工作面的图纸进行复核，包括校核土建相关尺寸及强度等因素的符合性：如底坑尺寸、井道尺寸、门洞尺寸、开门尺寸、圈梁（尺寸及标高、圈梁数量及标高）、顶层高度、电梯机房等其它与电梯安装相关内容，</w:t>
      </w:r>
      <w:r>
        <w:rPr>
          <w:rFonts w:hint="eastAsia" w:ascii="宋体" w:hAnsi="宋体"/>
          <w:sz w:val="24"/>
          <w:szCs w:val="24"/>
          <w:lang w:val="en-US" w:eastAsia="zh-CN"/>
        </w:rPr>
        <w:t>成交</w:t>
      </w:r>
      <w:r>
        <w:rPr>
          <w:rFonts w:hint="eastAsia" w:ascii="宋体" w:hAnsi="宋体"/>
          <w:sz w:val="24"/>
          <w:szCs w:val="24"/>
        </w:rPr>
        <w:t>人须在中标后10个工作日内将复核报告（含图纸、现场未明确的或电梯安装及运行有要求的等其它因素）提交</w:t>
      </w:r>
      <w:r>
        <w:rPr>
          <w:rFonts w:hint="eastAsia" w:ascii="宋体" w:hAnsi="宋体"/>
          <w:sz w:val="24"/>
          <w:szCs w:val="24"/>
          <w:lang w:val="en-US" w:eastAsia="zh-CN"/>
        </w:rPr>
        <w:t>采购</w:t>
      </w:r>
      <w:r>
        <w:rPr>
          <w:rFonts w:hint="eastAsia" w:ascii="宋体" w:hAnsi="宋体"/>
          <w:sz w:val="24"/>
          <w:szCs w:val="24"/>
        </w:rPr>
        <w:t>人、建筑设计单位，如有问题</w:t>
      </w:r>
      <w:r>
        <w:rPr>
          <w:rFonts w:hint="eastAsia" w:ascii="宋体" w:hAnsi="宋体"/>
          <w:sz w:val="24"/>
          <w:szCs w:val="24"/>
          <w:lang w:val="en-US" w:eastAsia="zh-CN"/>
        </w:rPr>
        <w:t>成交</w:t>
      </w:r>
      <w:r>
        <w:rPr>
          <w:rFonts w:hint="eastAsia" w:ascii="宋体" w:hAnsi="宋体"/>
          <w:sz w:val="24"/>
          <w:szCs w:val="24"/>
        </w:rPr>
        <w:t>人需负责与建筑设计沟通调整并由建筑设计出具变更联系单，逾期未提交复核报告的，因此产生的整改及变更费用均由</w:t>
      </w:r>
      <w:r>
        <w:rPr>
          <w:rFonts w:hint="eastAsia" w:ascii="宋体" w:hAnsi="宋体"/>
          <w:sz w:val="24"/>
          <w:szCs w:val="24"/>
          <w:lang w:val="en-US" w:eastAsia="zh-CN"/>
        </w:rPr>
        <w:t>成交</w:t>
      </w:r>
      <w:r>
        <w:rPr>
          <w:rFonts w:hint="eastAsia" w:ascii="宋体" w:hAnsi="宋体"/>
          <w:sz w:val="24"/>
          <w:szCs w:val="24"/>
        </w:rPr>
        <w:t>人负责承担。</w:t>
      </w:r>
      <w:r>
        <w:rPr>
          <w:rFonts w:hint="eastAsia" w:ascii="宋体" w:hAnsi="宋体"/>
          <w:sz w:val="24"/>
          <w:szCs w:val="24"/>
          <w:lang w:val="en-US" w:eastAsia="zh-CN"/>
        </w:rPr>
        <w:t>成交</w:t>
      </w:r>
      <w:r>
        <w:rPr>
          <w:rFonts w:hint="eastAsia" w:ascii="宋体" w:hAnsi="宋体"/>
          <w:sz w:val="24"/>
          <w:szCs w:val="24"/>
        </w:rPr>
        <w:t>人施工进场前</w:t>
      </w:r>
      <w:r>
        <w:rPr>
          <w:rFonts w:hint="eastAsia" w:ascii="宋体" w:hAnsi="宋体"/>
          <w:bCs/>
          <w:sz w:val="24"/>
          <w:szCs w:val="24"/>
          <w:lang w:val="en-US" w:eastAsia="zh-CN"/>
        </w:rPr>
        <w:t>10</w:t>
      </w:r>
      <w:r>
        <w:rPr>
          <w:rFonts w:hint="eastAsia" w:ascii="宋体" w:hAnsi="宋体"/>
          <w:bCs/>
          <w:sz w:val="24"/>
          <w:szCs w:val="24"/>
        </w:rPr>
        <w:t>天</w:t>
      </w:r>
      <w:r>
        <w:rPr>
          <w:rFonts w:hint="eastAsia" w:ascii="宋体" w:hAnsi="宋体"/>
          <w:sz w:val="24"/>
          <w:szCs w:val="24"/>
        </w:rPr>
        <w:t>内完成电梯井道、电梯机房等所有现场的相关复核工作，如无问题与总包单位完成井道交接，如有问题</w:t>
      </w:r>
      <w:r>
        <w:rPr>
          <w:rFonts w:hint="eastAsia" w:ascii="宋体" w:hAnsi="宋体"/>
          <w:sz w:val="24"/>
          <w:szCs w:val="24"/>
          <w:lang w:val="en-US" w:eastAsia="zh-CN"/>
        </w:rPr>
        <w:t>成交</w:t>
      </w:r>
      <w:r>
        <w:rPr>
          <w:rFonts w:hint="eastAsia" w:ascii="宋体" w:hAnsi="宋体"/>
          <w:sz w:val="24"/>
          <w:szCs w:val="24"/>
        </w:rPr>
        <w:t>人整理复核报告并提交</w:t>
      </w:r>
      <w:r>
        <w:rPr>
          <w:rFonts w:hint="eastAsia" w:ascii="宋体" w:hAnsi="宋体"/>
          <w:sz w:val="24"/>
          <w:szCs w:val="24"/>
          <w:lang w:val="en-US" w:eastAsia="zh-CN"/>
        </w:rPr>
        <w:t>采购</w:t>
      </w:r>
      <w:r>
        <w:rPr>
          <w:rFonts w:hint="eastAsia" w:ascii="宋体" w:hAnsi="宋体"/>
          <w:sz w:val="24"/>
          <w:szCs w:val="24"/>
        </w:rPr>
        <w:t>人，逾期未提交复核报告则视作</w:t>
      </w:r>
      <w:r>
        <w:rPr>
          <w:rFonts w:hint="eastAsia" w:ascii="宋体" w:hAnsi="宋体"/>
          <w:sz w:val="24"/>
          <w:szCs w:val="24"/>
          <w:lang w:val="en-US" w:eastAsia="zh-CN"/>
        </w:rPr>
        <w:t>成交</w:t>
      </w:r>
      <w:r>
        <w:rPr>
          <w:rFonts w:hint="eastAsia" w:ascii="宋体" w:hAnsi="宋体"/>
          <w:sz w:val="24"/>
          <w:szCs w:val="24"/>
        </w:rPr>
        <w:t>人认为无问题可进入电梯安装工序。</w:t>
      </w:r>
    </w:p>
    <w:p w14:paraId="7B03FA94">
      <w:pPr>
        <w:spacing w:line="360" w:lineRule="auto"/>
        <w:ind w:firstLine="560"/>
        <w:rPr>
          <w:rFonts w:hint="eastAsia" w:ascii="宋体" w:hAnsi="宋体"/>
          <w:sz w:val="24"/>
          <w:szCs w:val="24"/>
        </w:rPr>
      </w:pPr>
      <w:r>
        <w:rPr>
          <w:rFonts w:hint="eastAsia" w:ascii="宋体" w:hAnsi="宋体"/>
          <w:sz w:val="24"/>
          <w:szCs w:val="24"/>
        </w:rPr>
        <w:t>1.2 按</w:t>
      </w:r>
      <w:r>
        <w:rPr>
          <w:rFonts w:hint="eastAsia" w:ascii="宋体" w:hAnsi="宋体"/>
          <w:sz w:val="24"/>
          <w:szCs w:val="24"/>
          <w:lang w:val="en-US" w:eastAsia="zh-CN"/>
        </w:rPr>
        <w:t>采购</w:t>
      </w:r>
      <w:r>
        <w:rPr>
          <w:rFonts w:hint="eastAsia" w:ascii="宋体" w:hAnsi="宋体"/>
          <w:sz w:val="24"/>
          <w:szCs w:val="24"/>
        </w:rPr>
        <w:t>人要求和设计需要完成设备的具体设计；</w:t>
      </w:r>
    </w:p>
    <w:p w14:paraId="5B778FD7">
      <w:pPr>
        <w:spacing w:line="360" w:lineRule="auto"/>
        <w:ind w:firstLine="560"/>
        <w:rPr>
          <w:rFonts w:hint="eastAsia" w:ascii="宋体" w:hAnsi="宋体"/>
          <w:sz w:val="24"/>
          <w:szCs w:val="24"/>
        </w:rPr>
      </w:pPr>
      <w:r>
        <w:rPr>
          <w:rFonts w:hint="eastAsia" w:ascii="宋体" w:hAnsi="宋体"/>
          <w:sz w:val="24"/>
          <w:szCs w:val="24"/>
        </w:rPr>
        <w:t>1.3 提供详细构造图、设备样本和使用操作说明书；</w:t>
      </w:r>
    </w:p>
    <w:p w14:paraId="28692418">
      <w:pPr>
        <w:spacing w:line="360" w:lineRule="auto"/>
        <w:ind w:firstLine="560"/>
        <w:rPr>
          <w:rFonts w:hint="eastAsia" w:ascii="宋体" w:hAnsi="宋体"/>
          <w:sz w:val="24"/>
          <w:szCs w:val="24"/>
        </w:rPr>
      </w:pPr>
      <w:r>
        <w:rPr>
          <w:rFonts w:hint="eastAsia" w:ascii="宋体" w:hAnsi="宋体"/>
          <w:sz w:val="24"/>
          <w:szCs w:val="24"/>
        </w:rPr>
        <w:t>1.4 按</w:t>
      </w:r>
      <w:r>
        <w:rPr>
          <w:rFonts w:hint="eastAsia" w:ascii="宋体" w:hAnsi="宋体"/>
          <w:sz w:val="24"/>
          <w:szCs w:val="24"/>
          <w:lang w:val="en-US" w:eastAsia="zh-CN"/>
        </w:rPr>
        <w:t>采购</w:t>
      </w:r>
      <w:r>
        <w:rPr>
          <w:rFonts w:hint="eastAsia" w:ascii="宋体" w:hAnsi="宋体"/>
          <w:sz w:val="24"/>
          <w:szCs w:val="24"/>
        </w:rPr>
        <w:t>人认可的设计方案和材料进行加工、制造、供货；</w:t>
      </w:r>
    </w:p>
    <w:p w14:paraId="18D63366">
      <w:pPr>
        <w:spacing w:line="360" w:lineRule="auto"/>
        <w:ind w:firstLine="560"/>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 xml:space="preserve"> 运输：设备运输至</w:t>
      </w:r>
      <w:r>
        <w:rPr>
          <w:rFonts w:hint="eastAsia" w:ascii="宋体" w:hAnsi="宋体"/>
          <w:sz w:val="24"/>
          <w:szCs w:val="24"/>
          <w:lang w:val="en-US" w:eastAsia="zh-CN"/>
        </w:rPr>
        <w:t>采购</w:t>
      </w:r>
      <w:r>
        <w:rPr>
          <w:rFonts w:hint="eastAsia" w:ascii="宋体" w:hAnsi="宋体"/>
          <w:sz w:val="24"/>
          <w:szCs w:val="24"/>
        </w:rPr>
        <w:t>人指定地点并负责卸货。</w:t>
      </w:r>
    </w:p>
    <w:p w14:paraId="780902DF">
      <w:pPr>
        <w:spacing w:line="360" w:lineRule="auto"/>
        <w:ind w:firstLine="560"/>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6</w:t>
      </w:r>
      <w:r>
        <w:rPr>
          <w:rFonts w:hint="eastAsia" w:ascii="宋体" w:hAnsi="宋体"/>
          <w:sz w:val="24"/>
          <w:szCs w:val="24"/>
        </w:rPr>
        <w:t xml:space="preserve"> 到货验收：货到现场，</w:t>
      </w:r>
      <w:r>
        <w:rPr>
          <w:rFonts w:hint="eastAsia" w:ascii="宋体" w:hAnsi="宋体"/>
          <w:sz w:val="24"/>
          <w:szCs w:val="24"/>
          <w:lang w:val="en-US" w:eastAsia="zh-CN"/>
        </w:rPr>
        <w:t>采购</w:t>
      </w:r>
      <w:r>
        <w:rPr>
          <w:rFonts w:hint="eastAsia" w:ascii="宋体" w:hAnsi="宋体"/>
          <w:sz w:val="24"/>
          <w:szCs w:val="24"/>
        </w:rPr>
        <w:t>人、监理和</w:t>
      </w:r>
      <w:r>
        <w:rPr>
          <w:rFonts w:hint="eastAsia" w:ascii="宋体" w:hAnsi="宋体"/>
          <w:sz w:val="24"/>
          <w:szCs w:val="24"/>
          <w:lang w:val="en-US" w:eastAsia="zh-CN"/>
        </w:rPr>
        <w:t>成交</w:t>
      </w:r>
      <w:r>
        <w:rPr>
          <w:rFonts w:hint="eastAsia" w:ascii="宋体" w:hAnsi="宋体"/>
          <w:sz w:val="24"/>
          <w:szCs w:val="24"/>
        </w:rPr>
        <w:t>人共同清点箱件验收。如不具备开箱验收的条件，</w:t>
      </w:r>
      <w:r>
        <w:rPr>
          <w:rFonts w:hint="eastAsia" w:ascii="宋体" w:hAnsi="宋体"/>
          <w:sz w:val="24"/>
          <w:szCs w:val="24"/>
          <w:lang w:val="en-US" w:eastAsia="zh-CN"/>
        </w:rPr>
        <w:t>成交</w:t>
      </w:r>
      <w:r>
        <w:rPr>
          <w:rFonts w:hint="eastAsia" w:ascii="宋体" w:hAnsi="宋体"/>
          <w:sz w:val="24"/>
          <w:szCs w:val="24"/>
        </w:rPr>
        <w:t>人应妥善保管（需防潮、防盗），现场存放场地由</w:t>
      </w:r>
      <w:r>
        <w:rPr>
          <w:rFonts w:hint="eastAsia" w:ascii="宋体" w:hAnsi="宋体"/>
          <w:sz w:val="24"/>
          <w:szCs w:val="24"/>
          <w:lang w:val="en-US" w:eastAsia="zh-CN"/>
        </w:rPr>
        <w:t>成交</w:t>
      </w:r>
      <w:r>
        <w:rPr>
          <w:rFonts w:hint="eastAsia" w:ascii="宋体" w:hAnsi="宋体"/>
          <w:sz w:val="24"/>
          <w:szCs w:val="24"/>
        </w:rPr>
        <w:t>人自行与总包单位协商解决。未经</w:t>
      </w:r>
      <w:r>
        <w:rPr>
          <w:rFonts w:hint="eastAsia" w:ascii="宋体" w:hAnsi="宋体"/>
          <w:sz w:val="24"/>
          <w:szCs w:val="24"/>
          <w:lang w:val="en-US" w:eastAsia="zh-CN"/>
        </w:rPr>
        <w:t>采购</w:t>
      </w:r>
      <w:r>
        <w:rPr>
          <w:rFonts w:hint="eastAsia" w:ascii="宋体" w:hAnsi="宋体"/>
          <w:sz w:val="24"/>
          <w:szCs w:val="24"/>
        </w:rPr>
        <w:t>人同意，中标人不得擅自拆箱。</w:t>
      </w:r>
      <w:r>
        <w:rPr>
          <w:rFonts w:hint="eastAsia" w:ascii="宋体" w:hAnsi="宋体"/>
          <w:sz w:val="24"/>
          <w:szCs w:val="24"/>
          <w:lang w:val="en-US" w:eastAsia="zh-CN"/>
        </w:rPr>
        <w:t>采购</w:t>
      </w:r>
      <w:r>
        <w:rPr>
          <w:rFonts w:hint="eastAsia" w:ascii="宋体" w:hAnsi="宋体"/>
          <w:sz w:val="24"/>
          <w:szCs w:val="24"/>
        </w:rPr>
        <w:t>人在接到</w:t>
      </w:r>
      <w:r>
        <w:rPr>
          <w:rFonts w:hint="eastAsia" w:ascii="宋体" w:hAnsi="宋体"/>
          <w:sz w:val="24"/>
          <w:szCs w:val="24"/>
          <w:lang w:val="en-US" w:eastAsia="zh-CN"/>
        </w:rPr>
        <w:t>成交</w:t>
      </w:r>
      <w:r>
        <w:rPr>
          <w:rFonts w:hint="eastAsia" w:ascii="宋体" w:hAnsi="宋体"/>
          <w:sz w:val="24"/>
          <w:szCs w:val="24"/>
        </w:rPr>
        <w:t>人开箱安装通知后，派员7天内会同</w:t>
      </w:r>
      <w:r>
        <w:rPr>
          <w:rFonts w:hint="eastAsia" w:ascii="宋体" w:hAnsi="宋体"/>
          <w:sz w:val="24"/>
          <w:szCs w:val="24"/>
          <w:lang w:val="en-US" w:eastAsia="zh-CN"/>
        </w:rPr>
        <w:t>成交</w:t>
      </w:r>
      <w:r>
        <w:rPr>
          <w:rFonts w:hint="eastAsia" w:ascii="宋体" w:hAnsi="宋体"/>
          <w:sz w:val="24"/>
          <w:szCs w:val="24"/>
        </w:rPr>
        <w:t>人进行货物清点验收，若发现货物与装箱单数目不符，</w:t>
      </w:r>
      <w:r>
        <w:rPr>
          <w:rFonts w:hint="eastAsia" w:ascii="宋体" w:hAnsi="宋体"/>
          <w:sz w:val="24"/>
          <w:szCs w:val="24"/>
          <w:lang w:val="en-US" w:eastAsia="zh-CN"/>
        </w:rPr>
        <w:t>成交</w:t>
      </w:r>
      <w:r>
        <w:rPr>
          <w:rFonts w:hint="eastAsia" w:ascii="宋体" w:hAnsi="宋体"/>
          <w:sz w:val="24"/>
          <w:szCs w:val="24"/>
        </w:rPr>
        <w:t>人须在接到</w:t>
      </w:r>
      <w:r>
        <w:rPr>
          <w:rFonts w:hint="eastAsia" w:ascii="宋体" w:hAnsi="宋体"/>
          <w:sz w:val="24"/>
          <w:szCs w:val="24"/>
          <w:lang w:val="en-US" w:eastAsia="zh-CN"/>
        </w:rPr>
        <w:t>采购</w:t>
      </w:r>
      <w:r>
        <w:rPr>
          <w:rFonts w:hint="eastAsia" w:ascii="宋体" w:hAnsi="宋体"/>
          <w:sz w:val="24"/>
          <w:szCs w:val="24"/>
        </w:rPr>
        <w:t>人在规定时间内将货物补齐，工期计入供货周期。如在保管期间箱件已损坏，缺件由</w:t>
      </w:r>
      <w:r>
        <w:rPr>
          <w:rFonts w:hint="eastAsia" w:ascii="宋体" w:hAnsi="宋体"/>
          <w:sz w:val="24"/>
          <w:szCs w:val="24"/>
          <w:lang w:val="en-US" w:eastAsia="zh-CN"/>
        </w:rPr>
        <w:t>成交</w:t>
      </w:r>
      <w:r>
        <w:rPr>
          <w:rFonts w:hint="eastAsia" w:ascii="宋体" w:hAnsi="宋体"/>
          <w:sz w:val="24"/>
          <w:szCs w:val="24"/>
        </w:rPr>
        <w:t>人负责，如对产品的外表质量有异议，应在验收时提出。在交货日期以后发现货物与装箱清单数目、规格不一致的，也不能排除</w:t>
      </w:r>
      <w:r>
        <w:rPr>
          <w:rFonts w:hint="eastAsia" w:ascii="宋体" w:hAnsi="宋体"/>
          <w:sz w:val="24"/>
          <w:szCs w:val="24"/>
          <w:lang w:val="en-US" w:eastAsia="zh-CN"/>
        </w:rPr>
        <w:t>成交</w:t>
      </w:r>
      <w:r>
        <w:rPr>
          <w:rFonts w:hint="eastAsia" w:ascii="宋体" w:hAnsi="宋体"/>
          <w:sz w:val="24"/>
          <w:szCs w:val="24"/>
        </w:rPr>
        <w:t>人对此的保证责任。到场验收合格后，并不排除</w:t>
      </w:r>
      <w:r>
        <w:rPr>
          <w:rFonts w:hint="eastAsia" w:ascii="宋体" w:hAnsi="宋体"/>
          <w:sz w:val="24"/>
          <w:szCs w:val="24"/>
          <w:lang w:val="en-US" w:eastAsia="zh-CN"/>
        </w:rPr>
        <w:t>成交</w:t>
      </w:r>
      <w:r>
        <w:rPr>
          <w:rFonts w:hint="eastAsia" w:ascii="宋体" w:hAnsi="宋体"/>
          <w:sz w:val="24"/>
          <w:szCs w:val="24"/>
        </w:rPr>
        <w:t>人对相应设备的责任。</w:t>
      </w:r>
    </w:p>
    <w:p w14:paraId="22A1440F">
      <w:pPr>
        <w:spacing w:line="360" w:lineRule="auto"/>
        <w:ind w:firstLine="240" w:firstLineChars="100"/>
        <w:rPr>
          <w:rFonts w:hint="eastAsia" w:ascii="宋体" w:hAnsi="宋体"/>
          <w:sz w:val="24"/>
          <w:szCs w:val="24"/>
        </w:rPr>
      </w:pPr>
      <w:r>
        <w:rPr>
          <w:rFonts w:hint="eastAsia" w:ascii="宋体" w:hAnsi="宋体"/>
          <w:sz w:val="24"/>
          <w:szCs w:val="24"/>
        </w:rPr>
        <w:t>2、设备安装</w:t>
      </w:r>
    </w:p>
    <w:p w14:paraId="14D43C1C">
      <w:pPr>
        <w:spacing w:line="360" w:lineRule="auto"/>
        <w:ind w:firstLine="560"/>
        <w:rPr>
          <w:rFonts w:hint="eastAsia" w:ascii="宋体" w:hAnsi="宋体"/>
          <w:sz w:val="24"/>
          <w:szCs w:val="24"/>
        </w:rPr>
      </w:pPr>
      <w:r>
        <w:rPr>
          <w:rFonts w:hint="eastAsia" w:ascii="宋体" w:hAnsi="宋体"/>
          <w:sz w:val="24"/>
          <w:szCs w:val="24"/>
        </w:rPr>
        <w:t>2.1电梯安装队进场前，</w:t>
      </w:r>
      <w:r>
        <w:rPr>
          <w:rFonts w:hint="eastAsia" w:ascii="宋体" w:hAnsi="宋体" w:cs="Arial"/>
          <w:sz w:val="24"/>
          <w:szCs w:val="24"/>
          <w:lang w:val="en-US" w:eastAsia="zh-CN"/>
        </w:rPr>
        <w:t>成交</w:t>
      </w:r>
      <w:r>
        <w:rPr>
          <w:rFonts w:hint="eastAsia" w:ascii="宋体" w:hAnsi="宋体" w:cs="Arial"/>
          <w:sz w:val="24"/>
          <w:szCs w:val="24"/>
        </w:rPr>
        <w:t>人需按</w:t>
      </w:r>
      <w:r>
        <w:rPr>
          <w:rFonts w:hint="eastAsia" w:ascii="宋体" w:hAnsi="宋体" w:cs="Arial"/>
          <w:sz w:val="24"/>
          <w:szCs w:val="24"/>
          <w:lang w:val="en-US" w:eastAsia="zh-CN"/>
        </w:rPr>
        <w:t>采购</w:t>
      </w:r>
      <w:r>
        <w:rPr>
          <w:rFonts w:hint="eastAsia" w:ascii="宋体" w:hAnsi="宋体" w:cs="Arial"/>
          <w:sz w:val="24"/>
          <w:szCs w:val="24"/>
        </w:rPr>
        <w:t>人的要求办理开工手续，提交开工报告、质保体系及施工方案等报</w:t>
      </w:r>
      <w:r>
        <w:rPr>
          <w:rFonts w:hint="eastAsia" w:ascii="宋体" w:hAnsi="宋体" w:cs="Arial"/>
          <w:sz w:val="24"/>
          <w:szCs w:val="24"/>
          <w:lang w:val="en-US" w:eastAsia="zh-CN"/>
        </w:rPr>
        <w:t>采购</w:t>
      </w:r>
      <w:r>
        <w:rPr>
          <w:rFonts w:hint="eastAsia" w:ascii="宋体" w:hAnsi="宋体" w:cs="Arial"/>
          <w:sz w:val="24"/>
          <w:szCs w:val="24"/>
        </w:rPr>
        <w:t>人、监理单位批准，并</w:t>
      </w:r>
      <w:r>
        <w:rPr>
          <w:rFonts w:hint="eastAsia" w:ascii="宋体" w:hAnsi="宋体"/>
          <w:sz w:val="24"/>
          <w:szCs w:val="24"/>
        </w:rPr>
        <w:t>负责向当地质量技术监督局办理特种设备电梯安装告知书，</w:t>
      </w:r>
      <w:r>
        <w:rPr>
          <w:rFonts w:hint="eastAsia" w:ascii="宋体" w:hAnsi="宋体" w:cs="Arial"/>
          <w:sz w:val="24"/>
          <w:szCs w:val="24"/>
        </w:rPr>
        <w:t>负责设备安装、调试及试运行</w:t>
      </w:r>
      <w:r>
        <w:rPr>
          <w:rFonts w:hint="eastAsia" w:ascii="宋体" w:hAnsi="宋体"/>
          <w:sz w:val="24"/>
          <w:szCs w:val="24"/>
        </w:rPr>
        <w:t>直至验收合格交付</w:t>
      </w:r>
      <w:r>
        <w:rPr>
          <w:rFonts w:hint="eastAsia" w:ascii="宋体" w:hAnsi="宋体"/>
          <w:sz w:val="24"/>
          <w:szCs w:val="24"/>
          <w:lang w:val="en-US" w:eastAsia="zh-CN"/>
        </w:rPr>
        <w:t>采购</w:t>
      </w:r>
      <w:r>
        <w:rPr>
          <w:rFonts w:hint="eastAsia" w:ascii="宋体" w:hAnsi="宋体"/>
          <w:sz w:val="24"/>
          <w:szCs w:val="24"/>
        </w:rPr>
        <w:t>人。本项目电梯</w:t>
      </w:r>
      <w:r>
        <w:rPr>
          <w:rFonts w:hint="eastAsia" w:ascii="宋体" w:hAnsi="宋体" w:cs="Arial"/>
          <w:sz w:val="24"/>
          <w:szCs w:val="24"/>
        </w:rPr>
        <w:t>安装</w:t>
      </w:r>
      <w:r>
        <w:rPr>
          <w:rFonts w:hint="eastAsia" w:ascii="宋体" w:hAnsi="宋体"/>
          <w:sz w:val="24"/>
          <w:szCs w:val="24"/>
        </w:rPr>
        <w:t>工程</w:t>
      </w:r>
      <w:r>
        <w:rPr>
          <w:rFonts w:hint="eastAsia" w:ascii="宋体" w:hAnsi="宋体" w:cs="Arial"/>
          <w:sz w:val="24"/>
          <w:szCs w:val="24"/>
        </w:rPr>
        <w:t>为</w:t>
      </w:r>
      <w:r>
        <w:rPr>
          <w:rFonts w:hint="eastAsia" w:ascii="宋体" w:hAnsi="宋体"/>
          <w:sz w:val="24"/>
          <w:szCs w:val="24"/>
        </w:rPr>
        <w:t>交钥匙工程</w:t>
      </w:r>
      <w:r>
        <w:rPr>
          <w:rFonts w:hint="eastAsia" w:ascii="宋体" w:hAnsi="宋体" w:cs="Arial"/>
          <w:sz w:val="24"/>
          <w:szCs w:val="24"/>
        </w:rPr>
        <w:t>。</w:t>
      </w:r>
    </w:p>
    <w:p w14:paraId="2A0CCC40">
      <w:pPr>
        <w:spacing w:line="360" w:lineRule="auto"/>
        <w:ind w:firstLine="560"/>
        <w:rPr>
          <w:rFonts w:hint="eastAsia" w:ascii="宋体" w:hAnsi="宋体"/>
          <w:sz w:val="24"/>
          <w:szCs w:val="24"/>
        </w:rPr>
      </w:pPr>
      <w:r>
        <w:rPr>
          <w:rFonts w:hint="eastAsia" w:ascii="宋体" w:hAnsi="宋体"/>
          <w:sz w:val="24"/>
          <w:szCs w:val="24"/>
        </w:rPr>
        <w:t>2.2</w:t>
      </w:r>
      <w:r>
        <w:rPr>
          <w:rFonts w:hint="eastAsia" w:ascii="宋体" w:hAnsi="宋体"/>
          <w:sz w:val="24"/>
          <w:szCs w:val="24"/>
          <w:lang w:val="en-US" w:eastAsia="zh-CN"/>
        </w:rPr>
        <w:t>成交</w:t>
      </w:r>
      <w:r>
        <w:rPr>
          <w:rFonts w:hint="eastAsia" w:ascii="宋体" w:hAnsi="宋体"/>
          <w:sz w:val="24"/>
          <w:szCs w:val="24"/>
        </w:rPr>
        <w:t>人需按</w:t>
      </w:r>
      <w:r>
        <w:rPr>
          <w:rFonts w:hint="eastAsia" w:ascii="宋体" w:hAnsi="宋体"/>
          <w:sz w:val="24"/>
          <w:szCs w:val="24"/>
          <w:lang w:val="en-US" w:eastAsia="zh-CN"/>
        </w:rPr>
        <w:t>采购</w:t>
      </w:r>
      <w:r>
        <w:rPr>
          <w:rFonts w:hint="eastAsia" w:ascii="宋体" w:hAnsi="宋体"/>
          <w:sz w:val="24"/>
          <w:szCs w:val="24"/>
        </w:rPr>
        <w:t>人的要求和认可负责设备安装和调试及试运行直至验收交付使用。设备装卸运输及其他所需费用均包含在</w:t>
      </w:r>
      <w:r>
        <w:rPr>
          <w:rFonts w:hint="eastAsia" w:ascii="宋体" w:hAnsi="宋体"/>
          <w:sz w:val="24"/>
          <w:szCs w:val="24"/>
          <w:lang w:val="en-US" w:eastAsia="zh-CN"/>
        </w:rPr>
        <w:t>总</w:t>
      </w:r>
      <w:r>
        <w:rPr>
          <w:rFonts w:hint="eastAsia" w:ascii="宋体" w:hAnsi="宋体"/>
          <w:sz w:val="24"/>
          <w:szCs w:val="24"/>
        </w:rPr>
        <w:t>报价内。</w:t>
      </w:r>
    </w:p>
    <w:p w14:paraId="02732372">
      <w:pPr>
        <w:spacing w:line="360" w:lineRule="auto"/>
        <w:ind w:firstLine="560"/>
        <w:rPr>
          <w:rFonts w:hint="eastAsia" w:ascii="宋体" w:hAnsi="宋体"/>
          <w:sz w:val="24"/>
          <w:szCs w:val="24"/>
        </w:rPr>
      </w:pPr>
      <w:r>
        <w:rPr>
          <w:rFonts w:hint="eastAsia" w:ascii="宋体" w:hAnsi="宋体"/>
          <w:sz w:val="24"/>
          <w:szCs w:val="24"/>
        </w:rPr>
        <w:t>2.3</w:t>
      </w:r>
      <w:r>
        <w:rPr>
          <w:rFonts w:hint="eastAsia" w:ascii="宋体" w:hAnsi="宋体"/>
          <w:sz w:val="24"/>
          <w:szCs w:val="24"/>
          <w:lang w:val="en-US" w:eastAsia="zh-CN"/>
        </w:rPr>
        <w:t>成交</w:t>
      </w:r>
      <w:r>
        <w:rPr>
          <w:rFonts w:hint="eastAsia" w:ascii="宋体" w:hAnsi="宋体"/>
          <w:sz w:val="24"/>
          <w:szCs w:val="24"/>
        </w:rPr>
        <w:t>人需对安装、调试、记录、试运行等负责，直至拿到质量管理部门和质检部门的验收证书，检试验收费用包括在总价中。</w:t>
      </w:r>
    </w:p>
    <w:p w14:paraId="7B9BDD83">
      <w:pPr>
        <w:spacing w:line="360" w:lineRule="auto"/>
        <w:ind w:firstLine="560"/>
        <w:rPr>
          <w:rFonts w:hint="eastAsia" w:ascii="宋体" w:hAnsi="宋体"/>
          <w:sz w:val="24"/>
          <w:szCs w:val="24"/>
        </w:rPr>
      </w:pPr>
      <w:r>
        <w:rPr>
          <w:rFonts w:hint="eastAsia" w:ascii="宋体" w:hAnsi="宋体"/>
          <w:sz w:val="24"/>
          <w:szCs w:val="24"/>
        </w:rPr>
        <w:t>2.4未经</w:t>
      </w:r>
      <w:r>
        <w:rPr>
          <w:rFonts w:hint="eastAsia" w:ascii="宋体" w:hAnsi="宋体"/>
          <w:sz w:val="24"/>
          <w:szCs w:val="24"/>
          <w:lang w:val="en-US" w:eastAsia="zh-CN"/>
        </w:rPr>
        <w:t>采购</w:t>
      </w:r>
      <w:r>
        <w:rPr>
          <w:rFonts w:hint="eastAsia" w:ascii="宋体" w:hAnsi="宋体"/>
          <w:sz w:val="24"/>
          <w:szCs w:val="24"/>
        </w:rPr>
        <w:t>人书面同意</w:t>
      </w:r>
      <w:r>
        <w:rPr>
          <w:rFonts w:hint="eastAsia" w:ascii="宋体" w:hAnsi="宋体"/>
          <w:sz w:val="24"/>
          <w:szCs w:val="24"/>
          <w:lang w:val="en-US" w:eastAsia="zh-CN"/>
        </w:rPr>
        <w:t>成交</w:t>
      </w:r>
      <w:r>
        <w:rPr>
          <w:rFonts w:hint="eastAsia" w:ascii="宋体" w:hAnsi="宋体"/>
          <w:sz w:val="24"/>
          <w:szCs w:val="24"/>
        </w:rPr>
        <w:t>人不得将设备委托他方进行安装。</w:t>
      </w:r>
    </w:p>
    <w:p w14:paraId="3E165C6E">
      <w:pPr>
        <w:spacing w:line="360" w:lineRule="auto"/>
        <w:ind w:firstLine="560"/>
        <w:rPr>
          <w:rFonts w:hint="eastAsia" w:ascii="宋体" w:hAnsi="宋体"/>
          <w:sz w:val="24"/>
          <w:szCs w:val="24"/>
        </w:rPr>
      </w:pPr>
      <w:r>
        <w:rPr>
          <w:rFonts w:hint="eastAsia" w:ascii="宋体" w:hAnsi="宋体"/>
          <w:sz w:val="24"/>
          <w:szCs w:val="24"/>
        </w:rPr>
        <w:t>2.5 设备安装验收合格至向最终业主交</w:t>
      </w:r>
      <w:r>
        <w:rPr>
          <w:rFonts w:hint="eastAsia" w:ascii="宋体" w:hAnsi="宋体"/>
          <w:sz w:val="24"/>
          <w:szCs w:val="24"/>
          <w:lang w:val="en-US" w:eastAsia="zh-CN"/>
        </w:rPr>
        <w:t>付</w:t>
      </w:r>
      <w:r>
        <w:rPr>
          <w:rFonts w:hint="eastAsia" w:ascii="宋体" w:hAnsi="宋体"/>
          <w:sz w:val="24"/>
          <w:szCs w:val="24"/>
        </w:rPr>
        <w:t>之日的设备维护、保养由</w:t>
      </w:r>
      <w:r>
        <w:rPr>
          <w:rFonts w:hint="eastAsia" w:ascii="宋体" w:hAnsi="宋体"/>
          <w:sz w:val="24"/>
          <w:szCs w:val="24"/>
          <w:lang w:val="en-US" w:eastAsia="zh-CN"/>
        </w:rPr>
        <w:t>成交</w:t>
      </w:r>
      <w:r>
        <w:rPr>
          <w:rFonts w:hint="eastAsia" w:ascii="宋体" w:hAnsi="宋体"/>
          <w:sz w:val="24"/>
          <w:szCs w:val="24"/>
        </w:rPr>
        <w:t>人负责。</w:t>
      </w:r>
    </w:p>
    <w:p w14:paraId="7EBECF52">
      <w:pPr>
        <w:spacing w:line="360" w:lineRule="auto"/>
        <w:ind w:firstLine="560"/>
        <w:rPr>
          <w:rFonts w:hint="eastAsia" w:ascii="宋体" w:hAnsi="宋体"/>
          <w:sz w:val="24"/>
          <w:szCs w:val="24"/>
        </w:rPr>
      </w:pPr>
      <w:r>
        <w:rPr>
          <w:rFonts w:hint="eastAsia" w:ascii="宋体" w:hAnsi="宋体"/>
          <w:sz w:val="24"/>
          <w:szCs w:val="24"/>
        </w:rPr>
        <w:t xml:space="preserve">2.6 </w:t>
      </w:r>
      <w:r>
        <w:rPr>
          <w:rFonts w:hint="eastAsia" w:ascii="宋体" w:hAnsi="宋体"/>
          <w:sz w:val="24"/>
          <w:szCs w:val="24"/>
          <w:lang w:val="en-US" w:eastAsia="zh-CN"/>
        </w:rPr>
        <w:t>成交</w:t>
      </w:r>
      <w:r>
        <w:rPr>
          <w:rFonts w:hint="eastAsia" w:ascii="宋体" w:hAnsi="宋体"/>
          <w:sz w:val="24"/>
          <w:szCs w:val="24"/>
        </w:rPr>
        <w:t>人须提供与工程施工总进度相适应的安装作业计划和要求，并须得到总包和业主的认可。</w:t>
      </w:r>
    </w:p>
    <w:p w14:paraId="05A8B9E1">
      <w:pPr>
        <w:spacing w:line="360" w:lineRule="auto"/>
        <w:ind w:firstLine="560"/>
        <w:rPr>
          <w:rFonts w:hint="eastAsia" w:ascii="宋体" w:hAnsi="宋体"/>
          <w:sz w:val="24"/>
          <w:szCs w:val="24"/>
        </w:rPr>
      </w:pPr>
      <w:r>
        <w:rPr>
          <w:rFonts w:hint="eastAsia" w:ascii="宋体" w:hAnsi="宋体"/>
          <w:sz w:val="24"/>
          <w:szCs w:val="24"/>
        </w:rPr>
        <w:t>2.7 所有不需要特殊装修并且是暴露的钢制件应在表面进行除锈防腐处理，需做防火处理的材料必须做防火处理并满足相关建筑设计防火规范要求。</w:t>
      </w:r>
    </w:p>
    <w:p w14:paraId="72C2495C">
      <w:pPr>
        <w:spacing w:line="360" w:lineRule="auto"/>
        <w:ind w:firstLine="560"/>
        <w:rPr>
          <w:rFonts w:hint="eastAsia" w:ascii="宋体" w:hAnsi="宋体"/>
          <w:sz w:val="24"/>
          <w:szCs w:val="24"/>
        </w:rPr>
      </w:pPr>
      <w:r>
        <w:rPr>
          <w:rFonts w:hint="eastAsia" w:ascii="宋体" w:hAnsi="宋体"/>
          <w:sz w:val="24"/>
          <w:szCs w:val="24"/>
        </w:rPr>
        <w:t>2.8 设备安装验收合格，并领取正式验收证书后的</w:t>
      </w:r>
      <w:r>
        <w:rPr>
          <w:rFonts w:hint="eastAsia" w:ascii="宋体" w:hAnsi="宋体"/>
          <w:sz w:val="24"/>
          <w:szCs w:val="24"/>
          <w:u w:val="single"/>
        </w:rPr>
        <w:t xml:space="preserve"> 7 </w:t>
      </w:r>
      <w:r>
        <w:rPr>
          <w:rFonts w:hint="eastAsia" w:ascii="宋体" w:hAnsi="宋体"/>
          <w:sz w:val="24"/>
          <w:szCs w:val="24"/>
        </w:rPr>
        <w:t>天内向业主提供完整的技术资料三套（包括安装过程中的测试数据原件）。</w:t>
      </w:r>
    </w:p>
    <w:p w14:paraId="08801B79">
      <w:pPr>
        <w:spacing w:line="360" w:lineRule="auto"/>
        <w:ind w:firstLine="240" w:firstLineChars="100"/>
        <w:rPr>
          <w:rFonts w:hint="eastAsia" w:ascii="宋体" w:hAnsi="宋体"/>
          <w:sz w:val="24"/>
          <w:szCs w:val="24"/>
        </w:rPr>
      </w:pPr>
      <w:r>
        <w:rPr>
          <w:rFonts w:hint="eastAsia" w:ascii="宋体" w:hAnsi="宋体"/>
          <w:sz w:val="24"/>
          <w:szCs w:val="24"/>
        </w:rPr>
        <w:t>3、设备的调试和试运行</w:t>
      </w:r>
    </w:p>
    <w:p w14:paraId="03D9B6FD">
      <w:pPr>
        <w:spacing w:line="360" w:lineRule="auto"/>
        <w:ind w:firstLine="560"/>
        <w:rPr>
          <w:rFonts w:hint="eastAsia" w:ascii="宋体" w:hAnsi="宋体"/>
          <w:sz w:val="24"/>
          <w:szCs w:val="24"/>
        </w:rPr>
      </w:pPr>
      <w:r>
        <w:rPr>
          <w:rFonts w:hint="eastAsia" w:ascii="宋体" w:hAnsi="宋体"/>
          <w:sz w:val="24"/>
          <w:szCs w:val="24"/>
        </w:rPr>
        <w:t>3.1 工具、材料、仪器设备和劳务人员</w:t>
      </w:r>
    </w:p>
    <w:p w14:paraId="21F32095">
      <w:pPr>
        <w:spacing w:line="360" w:lineRule="auto"/>
        <w:ind w:firstLine="560"/>
        <w:rPr>
          <w:rFonts w:hint="eastAsia" w:ascii="宋体" w:hAnsi="宋体"/>
          <w:sz w:val="24"/>
          <w:szCs w:val="24"/>
        </w:rPr>
      </w:pPr>
      <w:r>
        <w:rPr>
          <w:rFonts w:hint="eastAsia" w:ascii="宋体" w:hAnsi="宋体"/>
          <w:sz w:val="24"/>
          <w:szCs w:val="24"/>
          <w:lang w:val="en-US" w:eastAsia="zh-CN"/>
        </w:rPr>
        <w:t>成交</w:t>
      </w:r>
      <w:r>
        <w:rPr>
          <w:rFonts w:hint="eastAsia" w:ascii="宋体" w:hAnsi="宋体"/>
          <w:sz w:val="24"/>
          <w:szCs w:val="24"/>
        </w:rPr>
        <w:t>人应派</w:t>
      </w:r>
      <w:r>
        <w:rPr>
          <w:rFonts w:hint="eastAsia" w:ascii="宋体" w:hAnsi="宋体"/>
          <w:sz w:val="24"/>
          <w:szCs w:val="24"/>
          <w:lang w:val="en-US" w:eastAsia="zh-CN"/>
        </w:rPr>
        <w:t>专业</w:t>
      </w:r>
      <w:r>
        <w:rPr>
          <w:rFonts w:hint="eastAsia" w:ascii="宋体" w:hAnsi="宋体"/>
          <w:sz w:val="24"/>
          <w:szCs w:val="24"/>
        </w:rPr>
        <w:t>的工程师在现场负责安装和调试，以检测其设计、制造、运行效果等。并提供所有安装和调试所需的工具、材料、仪器和劳务人员。</w:t>
      </w:r>
    </w:p>
    <w:p w14:paraId="0BEB292C">
      <w:pPr>
        <w:spacing w:line="360" w:lineRule="auto"/>
        <w:ind w:firstLine="240" w:firstLineChars="100"/>
        <w:rPr>
          <w:rFonts w:hint="eastAsia" w:ascii="宋体" w:hAnsi="宋体"/>
          <w:sz w:val="24"/>
          <w:szCs w:val="24"/>
        </w:rPr>
      </w:pPr>
      <w:r>
        <w:rPr>
          <w:rFonts w:hint="eastAsia" w:ascii="宋体" w:hAnsi="宋体"/>
          <w:sz w:val="24"/>
          <w:szCs w:val="24"/>
        </w:rPr>
        <w:t>4、设备验收</w:t>
      </w:r>
    </w:p>
    <w:p w14:paraId="73C28AC4">
      <w:pPr>
        <w:spacing w:line="360" w:lineRule="auto"/>
        <w:ind w:firstLine="560"/>
        <w:rPr>
          <w:rFonts w:hint="eastAsia" w:ascii="宋体" w:hAnsi="宋体"/>
          <w:sz w:val="24"/>
          <w:szCs w:val="24"/>
        </w:rPr>
      </w:pPr>
      <w:r>
        <w:rPr>
          <w:rFonts w:hint="eastAsia" w:ascii="宋体" w:hAnsi="宋体"/>
          <w:sz w:val="24"/>
          <w:szCs w:val="24"/>
        </w:rPr>
        <w:t>4.1 验收合格条件</w:t>
      </w:r>
    </w:p>
    <w:p w14:paraId="0C1C79B0">
      <w:pPr>
        <w:numPr>
          <w:ilvl w:val="0"/>
          <w:numId w:val="5"/>
        </w:numPr>
        <w:spacing w:line="360" w:lineRule="auto"/>
        <w:rPr>
          <w:rFonts w:hint="eastAsia" w:ascii="宋体" w:hAnsi="宋体"/>
          <w:sz w:val="24"/>
          <w:szCs w:val="24"/>
        </w:rPr>
      </w:pPr>
      <w:r>
        <w:rPr>
          <w:rFonts w:hint="eastAsia" w:ascii="宋体" w:hAnsi="宋体"/>
          <w:sz w:val="24"/>
          <w:szCs w:val="24"/>
        </w:rPr>
        <w:t>运行结果须符合产品标准和技术规格书及合同要求。</w:t>
      </w:r>
    </w:p>
    <w:p w14:paraId="23475363">
      <w:pPr>
        <w:numPr>
          <w:ilvl w:val="0"/>
          <w:numId w:val="5"/>
        </w:numPr>
        <w:spacing w:line="360" w:lineRule="auto"/>
        <w:rPr>
          <w:rFonts w:hint="eastAsia" w:ascii="宋体" w:hAnsi="宋体"/>
          <w:sz w:val="24"/>
          <w:szCs w:val="24"/>
        </w:rPr>
      </w:pPr>
      <w:r>
        <w:rPr>
          <w:rFonts w:hint="eastAsia" w:ascii="宋体" w:hAnsi="宋体"/>
          <w:sz w:val="24"/>
          <w:szCs w:val="24"/>
        </w:rPr>
        <w:t>设备在交付业主使用之前应通过政府有关部门的验收并取得使用证书。</w:t>
      </w:r>
    </w:p>
    <w:p w14:paraId="06365888">
      <w:pPr>
        <w:numPr>
          <w:ilvl w:val="0"/>
          <w:numId w:val="5"/>
        </w:numPr>
        <w:spacing w:line="360" w:lineRule="auto"/>
        <w:rPr>
          <w:rFonts w:hint="eastAsia" w:ascii="宋体" w:hAnsi="宋体"/>
          <w:sz w:val="24"/>
          <w:szCs w:val="24"/>
        </w:rPr>
      </w:pPr>
      <w:r>
        <w:rPr>
          <w:rFonts w:hint="eastAsia" w:ascii="宋体" w:hAnsi="宋体"/>
          <w:sz w:val="24"/>
          <w:szCs w:val="24"/>
        </w:rPr>
        <w:t>整套设备图纸及技术文件都已提交并得到接受确认。</w:t>
      </w:r>
    </w:p>
    <w:p w14:paraId="51E9421B">
      <w:pPr>
        <w:numPr>
          <w:ilvl w:val="0"/>
          <w:numId w:val="5"/>
        </w:numPr>
        <w:spacing w:line="360" w:lineRule="auto"/>
        <w:rPr>
          <w:rFonts w:hint="eastAsia" w:ascii="宋体" w:hAnsi="宋体"/>
          <w:sz w:val="24"/>
          <w:szCs w:val="24"/>
        </w:rPr>
      </w:pPr>
      <w:r>
        <w:rPr>
          <w:rFonts w:hint="eastAsia" w:ascii="宋体" w:hAnsi="宋体"/>
          <w:sz w:val="24"/>
          <w:szCs w:val="24"/>
        </w:rPr>
        <w:t>成品保护的相关材料并负责安装到位并移交物业。</w:t>
      </w:r>
    </w:p>
    <w:p w14:paraId="0336BD9E">
      <w:pPr>
        <w:spacing w:line="360" w:lineRule="auto"/>
        <w:ind w:firstLine="240" w:firstLineChars="100"/>
        <w:rPr>
          <w:rFonts w:hint="eastAsia" w:ascii="宋体" w:hAnsi="宋体"/>
          <w:sz w:val="24"/>
          <w:szCs w:val="24"/>
        </w:rPr>
      </w:pPr>
      <w:r>
        <w:rPr>
          <w:rFonts w:hint="eastAsia" w:ascii="宋体" w:hAnsi="宋体"/>
          <w:sz w:val="24"/>
          <w:szCs w:val="24"/>
          <w:lang w:val="en-US" w:eastAsia="zh-CN"/>
        </w:rPr>
        <w:t>5</w:t>
      </w:r>
      <w:r>
        <w:rPr>
          <w:rFonts w:hint="eastAsia" w:ascii="宋体" w:hAnsi="宋体"/>
          <w:sz w:val="24"/>
          <w:szCs w:val="24"/>
        </w:rPr>
        <w:t>、售后服务</w:t>
      </w:r>
    </w:p>
    <w:p w14:paraId="04965A3B">
      <w:pPr>
        <w:spacing w:line="360" w:lineRule="auto"/>
        <w:ind w:firstLine="560"/>
        <w:rPr>
          <w:rFonts w:hint="eastAsia" w:ascii="宋体" w:hAnsi="宋体"/>
          <w:sz w:val="24"/>
          <w:szCs w:val="24"/>
        </w:rPr>
      </w:pPr>
      <w:r>
        <w:rPr>
          <w:rFonts w:hint="eastAsia" w:ascii="宋体" w:hAnsi="宋体"/>
          <w:sz w:val="24"/>
          <w:szCs w:val="24"/>
          <w:lang w:val="en-US" w:eastAsia="zh-CN"/>
        </w:rPr>
        <w:t>5</w:t>
      </w:r>
      <w:r>
        <w:rPr>
          <w:rFonts w:hint="eastAsia" w:ascii="宋体" w:hAnsi="宋体"/>
          <w:sz w:val="24"/>
          <w:szCs w:val="24"/>
        </w:rPr>
        <w:t>.1 制造商</w:t>
      </w:r>
      <w:r>
        <w:rPr>
          <w:rFonts w:hint="eastAsia" w:ascii="宋体" w:hAnsi="宋体"/>
          <w:bCs/>
          <w:sz w:val="24"/>
          <w:szCs w:val="24"/>
        </w:rPr>
        <w:t>在项目所在地</w:t>
      </w:r>
      <w:r>
        <w:rPr>
          <w:rFonts w:hint="eastAsia" w:ascii="宋体" w:hAnsi="宋体"/>
          <w:bCs/>
          <w:iCs/>
          <w:sz w:val="24"/>
          <w:szCs w:val="24"/>
        </w:rPr>
        <w:t>需设有维修点</w:t>
      </w:r>
      <w:r>
        <w:rPr>
          <w:rFonts w:hint="eastAsia" w:ascii="宋体" w:hAnsi="宋体"/>
          <w:sz w:val="24"/>
          <w:szCs w:val="24"/>
        </w:rPr>
        <w:t>，维修人员接到维修电话后须在</w:t>
      </w:r>
      <w:r>
        <w:rPr>
          <w:rFonts w:hint="eastAsia" w:ascii="宋体" w:hAnsi="宋体"/>
          <w:sz w:val="24"/>
          <w:szCs w:val="24"/>
          <w:u w:val="single"/>
        </w:rPr>
        <w:t>30分钟</w:t>
      </w:r>
      <w:r>
        <w:rPr>
          <w:rFonts w:hint="eastAsia" w:ascii="宋体" w:hAnsi="宋体"/>
          <w:sz w:val="24"/>
          <w:szCs w:val="24"/>
        </w:rPr>
        <w:t>内赶到现场。维修点需提供足够的备件以满足维修需求。</w:t>
      </w:r>
    </w:p>
    <w:p w14:paraId="686C2E07">
      <w:pPr>
        <w:spacing w:line="360" w:lineRule="auto"/>
        <w:ind w:firstLine="560"/>
        <w:rPr>
          <w:rFonts w:hint="eastAsia" w:ascii="宋体" w:hAnsi="宋体"/>
          <w:b/>
          <w:bCs/>
          <w:sz w:val="24"/>
          <w:szCs w:val="24"/>
        </w:rPr>
      </w:pPr>
      <w:r>
        <w:rPr>
          <w:rFonts w:hint="eastAsia" w:ascii="宋体" w:hAnsi="宋体"/>
          <w:b/>
          <w:bCs/>
          <w:sz w:val="24"/>
          <w:szCs w:val="24"/>
          <w:lang w:val="en-US" w:eastAsia="zh-CN"/>
        </w:rPr>
        <w:t>5</w:t>
      </w:r>
      <w:r>
        <w:rPr>
          <w:rFonts w:hint="eastAsia" w:ascii="宋体" w:hAnsi="宋体"/>
          <w:b/>
          <w:bCs/>
          <w:sz w:val="24"/>
          <w:szCs w:val="24"/>
        </w:rPr>
        <w:t xml:space="preserve">.2 </w:t>
      </w:r>
      <w:r>
        <w:rPr>
          <w:rFonts w:hint="eastAsia" w:ascii="宋体" w:hAnsi="宋体"/>
          <w:b/>
          <w:bCs/>
          <w:sz w:val="24"/>
          <w:szCs w:val="24"/>
          <w:lang w:val="en-US" w:eastAsia="zh-CN"/>
        </w:rPr>
        <w:t>成交</w:t>
      </w:r>
      <w:r>
        <w:rPr>
          <w:rFonts w:hint="eastAsia" w:ascii="宋体" w:hAnsi="宋体"/>
          <w:b/>
          <w:bCs/>
          <w:sz w:val="24"/>
          <w:szCs w:val="24"/>
        </w:rPr>
        <w:t>人须对合同中规定的整套电梯提供全免费保养维修</w:t>
      </w:r>
      <w:r>
        <w:rPr>
          <w:rFonts w:hint="eastAsia" w:ascii="宋体" w:hAnsi="宋体"/>
          <w:b/>
          <w:bCs/>
          <w:sz w:val="24"/>
          <w:szCs w:val="24"/>
          <w:u w:val="single"/>
        </w:rPr>
        <w:t>二十四</w:t>
      </w:r>
      <w:r>
        <w:rPr>
          <w:rFonts w:hint="eastAsia" w:ascii="宋体" w:hAnsi="宋体"/>
          <w:b/>
          <w:bCs/>
          <w:sz w:val="24"/>
          <w:szCs w:val="24"/>
        </w:rPr>
        <w:t xml:space="preserve">个月（即免费维保期为两年），免费维保期自 </w:t>
      </w:r>
      <w:r>
        <w:rPr>
          <w:rFonts w:hint="eastAsia" w:ascii="宋体" w:hAnsi="宋体"/>
          <w:b/>
          <w:bCs/>
          <w:sz w:val="24"/>
          <w:szCs w:val="24"/>
          <w:u w:val="single"/>
        </w:rPr>
        <w:t>政府有关职能部门检验机构验收合格并向交付建设单位之日起计</w:t>
      </w:r>
      <w:r>
        <w:rPr>
          <w:rFonts w:hint="eastAsia" w:ascii="宋体" w:hAnsi="宋体"/>
          <w:b/>
          <w:bCs/>
          <w:sz w:val="24"/>
          <w:szCs w:val="24"/>
        </w:rPr>
        <w:t>。</w:t>
      </w:r>
    </w:p>
    <w:p w14:paraId="49198396">
      <w:pPr>
        <w:spacing w:line="360" w:lineRule="auto"/>
        <w:ind w:firstLine="560"/>
        <w:rPr>
          <w:rFonts w:hint="eastAsia" w:ascii="宋体" w:hAnsi="宋体"/>
          <w:sz w:val="24"/>
          <w:szCs w:val="24"/>
        </w:rPr>
      </w:pPr>
      <w:r>
        <w:rPr>
          <w:rFonts w:hint="eastAsia" w:ascii="宋体" w:hAnsi="宋体"/>
          <w:bCs/>
          <w:iCs/>
          <w:sz w:val="24"/>
          <w:szCs w:val="24"/>
        </w:rPr>
        <w:t>质保期内承担维保及检修、</w:t>
      </w:r>
      <w:r>
        <w:rPr>
          <w:rFonts w:hint="eastAsia" w:ascii="宋体" w:hAnsi="宋体"/>
          <w:sz w:val="24"/>
          <w:szCs w:val="24"/>
        </w:rPr>
        <w:t>检验费（即交付前的验收费和质保期内的年检费）</w:t>
      </w:r>
      <w:r>
        <w:rPr>
          <w:rFonts w:hint="eastAsia" w:ascii="宋体" w:hAnsi="宋体"/>
          <w:bCs/>
          <w:iCs/>
          <w:sz w:val="24"/>
          <w:szCs w:val="24"/>
        </w:rPr>
        <w:t>、非人为因素导致的配件更换及消耗品更换等所需费用</w:t>
      </w:r>
      <w:r>
        <w:rPr>
          <w:rFonts w:hint="eastAsia" w:ascii="宋体" w:hAnsi="宋体"/>
          <w:sz w:val="24"/>
          <w:szCs w:val="24"/>
        </w:rPr>
        <w:t>。</w:t>
      </w:r>
    </w:p>
    <w:p w14:paraId="4B04F611">
      <w:pPr>
        <w:spacing w:line="360" w:lineRule="auto"/>
        <w:ind w:left="440" w:leftChars="200"/>
        <w:rPr>
          <w:rFonts w:hint="eastAsia" w:ascii="宋体" w:hAnsi="宋体"/>
          <w:b/>
          <w:sz w:val="24"/>
          <w:szCs w:val="24"/>
        </w:rPr>
      </w:pPr>
      <w:r>
        <w:rPr>
          <w:rFonts w:hint="eastAsia" w:ascii="宋体" w:hAnsi="宋体"/>
          <w:b/>
          <w:sz w:val="24"/>
          <w:szCs w:val="24"/>
        </w:rPr>
        <w:t>三、产品制造及安装标准</w:t>
      </w:r>
    </w:p>
    <w:p w14:paraId="450B941A">
      <w:pPr>
        <w:spacing w:line="360" w:lineRule="auto"/>
        <w:ind w:left="440" w:leftChars="200" w:firstLine="537" w:firstLineChars="224"/>
        <w:rPr>
          <w:rFonts w:hint="eastAsia" w:ascii="宋体" w:hAnsi="宋体"/>
          <w:sz w:val="24"/>
          <w:szCs w:val="24"/>
        </w:rPr>
      </w:pPr>
      <w:r>
        <w:rPr>
          <w:rFonts w:hint="eastAsia" w:ascii="宋体" w:hAnsi="宋体"/>
          <w:sz w:val="24"/>
          <w:szCs w:val="24"/>
        </w:rPr>
        <w:t>包括但不限于：</w:t>
      </w:r>
    </w:p>
    <w:p w14:paraId="431A6CDC">
      <w:pPr>
        <w:numPr>
          <w:ilvl w:val="0"/>
          <w:numId w:val="6"/>
        </w:numPr>
        <w:spacing w:line="360" w:lineRule="auto"/>
        <w:ind w:firstLine="537" w:firstLineChars="224"/>
        <w:jc w:val="left"/>
        <w:rPr>
          <w:rFonts w:hint="eastAsia" w:ascii="宋体" w:hAnsi="宋体"/>
          <w:sz w:val="24"/>
          <w:szCs w:val="24"/>
        </w:rPr>
      </w:pPr>
      <w:r>
        <w:rPr>
          <w:rFonts w:hint="eastAsia" w:ascii="宋体" w:hAnsi="宋体"/>
          <w:sz w:val="24"/>
          <w:szCs w:val="24"/>
        </w:rPr>
        <w:t>电梯制造与安装安全规范GB</w:t>
      </w:r>
      <w:r>
        <w:rPr>
          <w:rFonts w:hint="eastAsia" w:ascii="MS Mincho" w:hAnsi="MS Mincho" w:eastAsia="MS Mincho"/>
          <w:sz w:val="24"/>
          <w:szCs w:val="24"/>
        </w:rPr>
        <w:t> </w:t>
      </w:r>
      <w:r>
        <w:rPr>
          <w:rFonts w:hint="eastAsia" w:ascii="宋体" w:hAnsi="宋体"/>
          <w:sz w:val="24"/>
          <w:szCs w:val="24"/>
        </w:rPr>
        <w:t>7588-2003/XG1-2015</w:t>
      </w:r>
      <w:r>
        <w:rPr>
          <w:rFonts w:hint="eastAsia" w:ascii="MS Mincho" w:hAnsi="MS Mincho" w:eastAsia="MS Mincho"/>
          <w:sz w:val="24"/>
          <w:szCs w:val="24"/>
        </w:rPr>
        <w:t> </w:t>
      </w:r>
    </w:p>
    <w:p w14:paraId="4D2565B8">
      <w:pPr>
        <w:numPr>
          <w:ilvl w:val="0"/>
          <w:numId w:val="6"/>
        </w:numPr>
        <w:spacing w:line="360" w:lineRule="auto"/>
        <w:ind w:firstLine="537" w:firstLineChars="224"/>
        <w:jc w:val="left"/>
        <w:rPr>
          <w:rFonts w:hint="eastAsia" w:ascii="宋体" w:hAnsi="宋体"/>
          <w:sz w:val="24"/>
          <w:szCs w:val="24"/>
        </w:rPr>
      </w:pPr>
      <w:r>
        <w:rPr>
          <w:rFonts w:hint="eastAsia" w:ascii="宋体" w:hAnsi="宋体"/>
          <w:bCs/>
          <w:sz w:val="24"/>
          <w:szCs w:val="24"/>
        </w:rPr>
        <w:t>电梯制造与安装规范GB7588-2003</w:t>
      </w:r>
    </w:p>
    <w:p w14:paraId="0A2E72C8">
      <w:pPr>
        <w:numPr>
          <w:ilvl w:val="0"/>
          <w:numId w:val="6"/>
        </w:numPr>
        <w:spacing w:line="360" w:lineRule="auto"/>
        <w:ind w:firstLine="537" w:firstLineChars="224"/>
        <w:jc w:val="left"/>
        <w:rPr>
          <w:rFonts w:hint="eastAsia" w:ascii="宋体" w:hAnsi="宋体"/>
          <w:sz w:val="24"/>
          <w:szCs w:val="24"/>
        </w:rPr>
      </w:pPr>
      <w:r>
        <w:rPr>
          <w:rFonts w:hint="eastAsia" w:ascii="宋体" w:hAnsi="宋体"/>
          <w:sz w:val="24"/>
          <w:szCs w:val="24"/>
        </w:rPr>
        <w:t>电梯技术条件GB/T10058-2009</w:t>
      </w:r>
    </w:p>
    <w:p w14:paraId="2681B825">
      <w:pPr>
        <w:numPr>
          <w:ilvl w:val="0"/>
          <w:numId w:val="6"/>
        </w:numPr>
        <w:spacing w:line="360" w:lineRule="auto"/>
        <w:ind w:firstLine="537" w:firstLineChars="224"/>
        <w:jc w:val="left"/>
        <w:rPr>
          <w:rFonts w:hint="eastAsia" w:ascii="宋体" w:hAnsi="宋体"/>
          <w:sz w:val="24"/>
          <w:szCs w:val="24"/>
        </w:rPr>
      </w:pPr>
      <w:r>
        <w:rPr>
          <w:rFonts w:hint="eastAsia" w:ascii="宋体" w:hAnsi="宋体"/>
          <w:sz w:val="24"/>
          <w:szCs w:val="24"/>
        </w:rPr>
        <w:t>电梯试验方法GB10059-2009</w:t>
      </w:r>
    </w:p>
    <w:p w14:paraId="53FB0FCE">
      <w:pPr>
        <w:numPr>
          <w:ilvl w:val="0"/>
          <w:numId w:val="6"/>
        </w:numPr>
        <w:spacing w:line="360" w:lineRule="auto"/>
        <w:ind w:firstLine="537" w:firstLineChars="224"/>
        <w:jc w:val="left"/>
        <w:rPr>
          <w:rFonts w:hint="eastAsia" w:ascii="宋体" w:hAnsi="宋体"/>
          <w:sz w:val="24"/>
          <w:szCs w:val="24"/>
        </w:rPr>
      </w:pPr>
      <w:r>
        <w:rPr>
          <w:rFonts w:hint="eastAsia" w:ascii="宋体" w:hAnsi="宋体"/>
          <w:sz w:val="24"/>
          <w:szCs w:val="24"/>
        </w:rPr>
        <w:t>电梯工程施工质量验收规范GB50310-2002</w:t>
      </w:r>
    </w:p>
    <w:p w14:paraId="0681CE43">
      <w:pPr>
        <w:numPr>
          <w:ilvl w:val="0"/>
          <w:numId w:val="6"/>
        </w:numPr>
        <w:spacing w:line="360" w:lineRule="auto"/>
        <w:ind w:firstLine="537" w:firstLineChars="224"/>
        <w:jc w:val="left"/>
        <w:rPr>
          <w:rFonts w:hint="eastAsia" w:ascii="宋体" w:hAnsi="宋体"/>
          <w:sz w:val="24"/>
          <w:szCs w:val="24"/>
        </w:rPr>
      </w:pPr>
      <w:r>
        <w:rPr>
          <w:rFonts w:hint="eastAsia" w:ascii="宋体" w:hAnsi="宋体"/>
          <w:sz w:val="24"/>
          <w:szCs w:val="24"/>
        </w:rPr>
        <w:t>电梯型式试验规则TSG</w:t>
      </w:r>
      <w:r>
        <w:rPr>
          <w:rFonts w:hint="eastAsia" w:ascii="MS Mincho" w:hAnsi="MS Mincho" w:eastAsia="MS Mincho"/>
          <w:sz w:val="24"/>
          <w:szCs w:val="24"/>
        </w:rPr>
        <w:t> </w:t>
      </w:r>
      <w:r>
        <w:rPr>
          <w:rFonts w:hint="eastAsia" w:ascii="宋体" w:hAnsi="宋体"/>
          <w:sz w:val="24"/>
          <w:szCs w:val="24"/>
        </w:rPr>
        <w:t>T7007-2016</w:t>
      </w:r>
    </w:p>
    <w:p w14:paraId="7E10B2A7">
      <w:pPr>
        <w:numPr>
          <w:ilvl w:val="0"/>
          <w:numId w:val="6"/>
        </w:numPr>
        <w:spacing w:line="360" w:lineRule="auto"/>
        <w:ind w:firstLine="537" w:firstLineChars="224"/>
        <w:jc w:val="left"/>
        <w:rPr>
          <w:rFonts w:hint="eastAsia" w:ascii="宋体" w:hAnsi="宋体"/>
          <w:sz w:val="24"/>
          <w:szCs w:val="24"/>
        </w:rPr>
      </w:pPr>
      <w:r>
        <w:rPr>
          <w:rFonts w:hint="eastAsia" w:ascii="宋体" w:hAnsi="宋体"/>
          <w:sz w:val="24"/>
          <w:szCs w:val="24"/>
        </w:rPr>
        <w:t>电梯主要部件报废技术条件</w:t>
      </w:r>
      <w:r>
        <w:rPr>
          <w:rFonts w:hint="eastAsia" w:ascii="MS Mincho" w:hAnsi="MS Mincho" w:eastAsia="MS Mincho"/>
          <w:sz w:val="24"/>
          <w:szCs w:val="24"/>
        </w:rPr>
        <w:t> </w:t>
      </w:r>
      <w:r>
        <w:rPr>
          <w:rFonts w:hint="eastAsia" w:ascii="宋体" w:hAnsi="宋体"/>
          <w:sz w:val="24"/>
          <w:szCs w:val="24"/>
        </w:rPr>
        <w:t>GB/T</w:t>
      </w:r>
      <w:r>
        <w:rPr>
          <w:rFonts w:hint="eastAsia" w:ascii="MS Mincho" w:hAnsi="MS Mincho" w:eastAsia="MS Mincho"/>
          <w:sz w:val="24"/>
          <w:szCs w:val="24"/>
        </w:rPr>
        <w:t> </w:t>
      </w:r>
      <w:r>
        <w:rPr>
          <w:rFonts w:hint="eastAsia" w:ascii="宋体" w:hAnsi="宋体"/>
          <w:sz w:val="24"/>
          <w:szCs w:val="24"/>
        </w:rPr>
        <w:t>31821-2015</w:t>
      </w:r>
    </w:p>
    <w:p w14:paraId="613581D3">
      <w:pPr>
        <w:numPr>
          <w:ilvl w:val="0"/>
          <w:numId w:val="6"/>
        </w:numPr>
        <w:spacing w:line="360" w:lineRule="auto"/>
        <w:ind w:firstLine="537" w:firstLineChars="224"/>
        <w:jc w:val="left"/>
        <w:rPr>
          <w:rFonts w:hint="eastAsia" w:ascii="宋体" w:hAnsi="宋体"/>
          <w:sz w:val="24"/>
          <w:szCs w:val="24"/>
        </w:rPr>
      </w:pPr>
      <w:r>
        <w:rPr>
          <w:rFonts w:hint="eastAsia" w:ascii="宋体" w:hAnsi="宋体"/>
          <w:sz w:val="24"/>
          <w:szCs w:val="24"/>
        </w:rPr>
        <w:t>地震情况下的电梯要求GB/T</w:t>
      </w:r>
      <w:r>
        <w:rPr>
          <w:rFonts w:hint="eastAsia" w:ascii="MS Mincho" w:hAnsi="MS Mincho" w:eastAsia="MS Mincho"/>
          <w:sz w:val="24"/>
          <w:szCs w:val="24"/>
        </w:rPr>
        <w:t> </w:t>
      </w:r>
      <w:r>
        <w:rPr>
          <w:rFonts w:hint="eastAsia" w:ascii="宋体" w:hAnsi="宋体"/>
          <w:sz w:val="24"/>
          <w:szCs w:val="24"/>
        </w:rPr>
        <w:t>31095-2014</w:t>
      </w:r>
    </w:p>
    <w:p w14:paraId="713973D8">
      <w:pPr>
        <w:spacing w:line="273" w:lineRule="auto"/>
        <w:ind w:right="220" w:rightChars="100"/>
        <w:rPr>
          <w:rFonts w:hint="eastAsia" w:ascii="宋体" w:hAnsi="宋体"/>
        </w:rPr>
      </w:pPr>
    </w:p>
    <w:p w14:paraId="2018400E">
      <w:pPr>
        <w:pStyle w:val="13"/>
        <w:numPr>
          <w:ilvl w:val="0"/>
          <w:numId w:val="0"/>
        </w:numPr>
        <w:spacing w:before="0" w:after="0" w:line="480" w:lineRule="exact"/>
        <w:jc w:val="both"/>
        <w:outlineLvl w:val="0"/>
        <w:rPr>
          <w:rFonts w:hint="default" w:hAnsi="宋体" w:eastAsia="宋体" w:cs="宋体"/>
          <w:b/>
          <w:sz w:val="30"/>
          <w:szCs w:val="36"/>
          <w:lang w:val="en-US" w:eastAsia="zh-CN"/>
        </w:rPr>
      </w:pPr>
    </w:p>
    <w:sectPr>
      <w:headerReference r:id="rId10" w:type="default"/>
      <w:footerReference r:id="rId11" w:type="default"/>
      <w:pgSz w:w="11906" w:h="16838"/>
      <w:pgMar w:top="1134" w:right="1134" w:bottom="1134" w:left="1247"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5956739-C786-4BA4-984C-A962D591E29B}"/>
  </w:font>
  <w:font w:name="黑体">
    <w:panose1 w:val="02010609060101010101"/>
    <w:charset w:val="86"/>
    <w:family w:val="auto"/>
    <w:pitch w:val="default"/>
    <w:sig w:usb0="800002BF" w:usb1="38CF7CFA" w:usb2="00000016" w:usb3="00000000" w:csb0="00040001" w:csb1="00000000"/>
    <w:embedRegular r:id="rId2" w:fontKey="{02B904A1-A61E-4A1E-9227-E6FC89C540AF}"/>
  </w:font>
  <w:font w:name="Courier New">
    <w:panose1 w:val="02070309020205020404"/>
    <w:charset w:val="01"/>
    <w:family w:val="modern"/>
    <w:pitch w:val="default"/>
    <w:sig w:usb0="E0002EFF" w:usb1="C0007843" w:usb2="00000009" w:usb3="00000000" w:csb0="400001FF" w:csb1="FFFF0000"/>
    <w:embedRegular r:id="rId3" w:fontKey="{8F7A5ADA-D953-4EBB-AD99-9E2335B7678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6158A8C4-4010-4DF4-AF5B-A3CAEE44D079}"/>
  </w:font>
  <w:font w:name="仿宋_GB2312">
    <w:altName w:val="仿宋"/>
    <w:panose1 w:val="02010609030101010101"/>
    <w:charset w:val="86"/>
    <w:family w:val="modern"/>
    <w:pitch w:val="default"/>
    <w:sig w:usb0="00000000" w:usb1="00000000" w:usb2="00000000" w:usb3="00000000" w:csb0="00040000" w:csb1="00000000"/>
    <w:embedRegular r:id="rId5" w:fontKey="{7B8EF7A3-6EAA-45E3-ACD8-3B6E37B2E52A}"/>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embedRegular r:id="rId6" w:fontKey="{F1B8CC94-EDD9-4628-9A2A-52EF681789D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embedRegular r:id="rId7" w:fontKey="{2D16BEA6-B048-4CB2-ABA3-116FF0E15B99}"/>
  </w:font>
  <w:font w:name="等线">
    <w:panose1 w:val="02010600030101010101"/>
    <w:charset w:val="86"/>
    <w:family w:val="auto"/>
    <w:pitch w:val="default"/>
    <w:sig w:usb0="A00002BF" w:usb1="38CF7CFA" w:usb2="00000016" w:usb3="00000000" w:csb0="0004000F" w:csb1="00000000"/>
    <w:embedRegular r:id="rId8" w:fontKey="{D63F418A-6F3F-46A6-8F3E-F162DCD409ED}"/>
  </w:font>
  <w:font w:name="MS Mincho">
    <w:altName w:val="Yu Gothic UI"/>
    <w:panose1 w:val="02020609040205080304"/>
    <w:charset w:val="80"/>
    <w:family w:val="modern"/>
    <w:pitch w:val="default"/>
    <w:sig w:usb0="00000000" w:usb1="00000000" w:usb2="00000012" w:usb3="00000000" w:csb0="4002009F" w:csb1="DFD70000"/>
    <w:embedRegular r:id="rId9" w:fontKey="{401D77E0-E59F-414C-BE83-5BD3DD9E4512}"/>
  </w:font>
  <w:font w:name="Yu Gothic UI">
    <w:panose1 w:val="020B0500000000000000"/>
    <w:charset w:val="80"/>
    <w:family w:val="auto"/>
    <w:pitch w:val="default"/>
    <w:sig w:usb0="E00002FF" w:usb1="2AC7FDFF" w:usb2="00000016" w:usb3="00000000" w:csb0="2002009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9B156">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F7B89B">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8F7B89B">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3A66E">
    <w:pPr>
      <w:pStyle w:val="14"/>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46788">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E146788">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31C27">
    <w:pPr>
      <w:pStyle w:val="14"/>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EB101">
                          <w:pPr>
                            <w:pStyle w:val="14"/>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B6EB101">
                    <w:pPr>
                      <w:pStyle w:val="14"/>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33EDA">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E664FF">
                          <w:pPr>
                            <w:pStyle w:val="14"/>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4E664FF">
                    <w:pPr>
                      <w:pStyle w:val="14"/>
                    </w:pPr>
                    <w:r>
                      <w:fldChar w:fldCharType="begin"/>
                    </w:r>
                    <w:r>
                      <w:instrText xml:space="preserve"> PAGE  \* MERGEFORMAT </w:instrText>
                    </w:r>
                    <w:r>
                      <w:fldChar w:fldCharType="separate"/>
                    </w:r>
                    <w:r>
                      <w:t>37</w:t>
                    </w:r>
                    <w:r>
                      <w:fldChar w:fldCharType="end"/>
                    </w:r>
                  </w:p>
                </w:txbxContent>
              </v:textbox>
            </v:shape>
          </w:pict>
        </mc:Fallback>
      </mc:AlternateContent>
    </w:r>
    <w:r>
      <w:rPr>
        <w:rFonts w:hint="eastAsia"/>
        <w:lang w:val="en-US"/>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94CC9">
    <w:pPr>
      <w:pStyle w:val="36"/>
      <w:tabs>
        <w:tab w:val="clear" w:pos="4153"/>
        <w:tab w:val="clear" w:pos="8306"/>
      </w:tabs>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2251A">
                          <w:pPr>
                            <w:pStyle w:val="1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952251A">
                    <w:pPr>
                      <w:pStyle w:val="1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D3B63">
    <w:pPr>
      <w:pStyle w:val="16"/>
      <w:tabs>
        <w:tab w:val="center" w:pos="4410"/>
        <w:tab w:val="clear" w:pos="8306"/>
      </w:tabs>
    </w:pPr>
    <w:r>
      <w:rPr>
        <w:rFonts w:hint="eastAsia"/>
        <w:lang w:val="en-US"/>
      </w:rPr>
      <w:t xml:space="preserve">  </w:t>
    </w:r>
    <w:r>
      <w:rPr>
        <w:rFonts w:hint="eastAsia"/>
      </w:rPr>
      <w:drawing>
        <wp:inline distT="0" distB="0" distL="114300" distR="114300">
          <wp:extent cx="2459355" cy="288290"/>
          <wp:effectExtent l="0" t="0" r="17145" b="16510"/>
          <wp:docPr id="3" name="图片 3" descr="大气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大气图标"/>
                  <pic:cNvPicPr>
                    <a:picLocks noChangeAspect="1"/>
                  </pic:cNvPicPr>
                </pic:nvPicPr>
                <pic:blipFill>
                  <a:blip r:embed="rId1"/>
                  <a:srcRect l="3708" t="16205" r="6945" b="35874"/>
                  <a:stretch>
                    <a:fillRect/>
                  </a:stretch>
                </pic:blipFill>
                <pic:spPr>
                  <a:xfrm>
                    <a:off x="0" y="0"/>
                    <a:ext cx="2459355" cy="288290"/>
                  </a:xfrm>
                  <a:prstGeom prst="rect">
                    <a:avLst/>
                  </a:prstGeom>
                </pic:spPr>
              </pic:pic>
            </a:graphicData>
          </a:graphic>
        </wp:inline>
      </w:drawing>
    </w: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D4286">
    <w:pPr>
      <w:pStyle w:val="16"/>
      <w:tabs>
        <w:tab w:val="center" w:pos="4410"/>
        <w:tab w:val="clear" w:pos="8306"/>
      </w:tabs>
    </w:pPr>
    <w:r>
      <w:rPr>
        <w:rFonts w:hint="eastAsia"/>
        <w:lang w:val="en-US"/>
      </w:rPr>
      <w:t xml:space="preserve">  </w:t>
    </w:r>
    <w:r>
      <w:rPr>
        <w:rFonts w:hint="eastAsia"/>
      </w:rPr>
      <w:drawing>
        <wp:inline distT="0" distB="0" distL="114300" distR="114300">
          <wp:extent cx="2459355" cy="288290"/>
          <wp:effectExtent l="0" t="0" r="17145" b="16510"/>
          <wp:docPr id="1" name="图片 1" descr="大气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大气图标"/>
                  <pic:cNvPicPr>
                    <a:picLocks noChangeAspect="1"/>
                  </pic:cNvPicPr>
                </pic:nvPicPr>
                <pic:blipFill>
                  <a:blip r:embed="rId1"/>
                  <a:srcRect l="3708" t="16205" r="6945" b="35874"/>
                  <a:stretch>
                    <a:fillRect/>
                  </a:stretch>
                </pic:blipFill>
                <pic:spPr>
                  <a:xfrm>
                    <a:off x="0" y="0"/>
                    <a:ext cx="2459355" cy="288290"/>
                  </a:xfrm>
                  <a:prstGeom prst="rect">
                    <a:avLst/>
                  </a:prstGeom>
                </pic:spPr>
              </pic:pic>
            </a:graphicData>
          </a:graphic>
        </wp:inline>
      </w:drawing>
    </w: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3D430">
    <w:pPr>
      <w:pStyle w:val="16"/>
    </w:pPr>
    <w:r>
      <w:rPr>
        <w:rFonts w:hint="eastAsia"/>
        <w:lang w:val="en-US"/>
      </w:rPr>
      <w:t xml:space="preserve">   </w:t>
    </w:r>
    <w:r>
      <w:rPr>
        <w:rFonts w:hint="eastAsia"/>
      </w:rPr>
      <w:drawing>
        <wp:inline distT="0" distB="0" distL="114300" distR="114300">
          <wp:extent cx="2459355" cy="288290"/>
          <wp:effectExtent l="0" t="0" r="17145" b="16510"/>
          <wp:docPr id="4" name="图片 4" descr="大气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大气图标"/>
                  <pic:cNvPicPr>
                    <a:picLocks noChangeAspect="1"/>
                  </pic:cNvPicPr>
                </pic:nvPicPr>
                <pic:blipFill>
                  <a:blip r:embed="rId1"/>
                  <a:srcRect l="3708" t="16205" r="6945" b="35874"/>
                  <a:stretch>
                    <a:fillRect/>
                  </a:stretch>
                </pic:blipFill>
                <pic:spPr>
                  <a:xfrm>
                    <a:off x="0" y="0"/>
                    <a:ext cx="2459355" cy="28829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2FD6EA"/>
    <w:multiLevelType w:val="singleLevel"/>
    <w:tmpl w:val="E32FD6EA"/>
    <w:lvl w:ilvl="0" w:tentative="0">
      <w:start w:val="2"/>
      <w:numFmt w:val="decimal"/>
      <w:suff w:val="nothing"/>
      <w:lvlText w:val="%1）"/>
      <w:lvlJc w:val="left"/>
    </w:lvl>
  </w:abstractNum>
  <w:abstractNum w:abstractNumId="1">
    <w:nsid w:val="EBD76BB1"/>
    <w:multiLevelType w:val="singleLevel"/>
    <w:tmpl w:val="EBD76BB1"/>
    <w:lvl w:ilvl="0" w:tentative="0">
      <w:start w:val="1"/>
      <w:numFmt w:val="decimal"/>
      <w:suff w:val="nothing"/>
      <w:lvlText w:val="%1、"/>
      <w:lvlJc w:val="left"/>
    </w:lvl>
  </w:abstractNum>
  <w:abstractNum w:abstractNumId="2">
    <w:nsid w:val="032C542B"/>
    <w:multiLevelType w:val="multilevel"/>
    <w:tmpl w:val="032C542B"/>
    <w:lvl w:ilvl="0" w:tentative="0">
      <w:start w:val="1"/>
      <w:numFmt w:val="decimal"/>
      <w:lvlText w:val="%1、"/>
      <w:lvlJc w:val="left"/>
      <w:pPr>
        <w:ind w:left="778" w:hanging="360"/>
      </w:pPr>
      <w:rPr>
        <w:rFonts w:hint="default" w:ascii="Times New Roman" w:hAnsi="Times New Roman" w:cs="Times New Roman"/>
      </w:rPr>
    </w:lvl>
    <w:lvl w:ilvl="1" w:tentative="0">
      <w:start w:val="1"/>
      <w:numFmt w:val="lowerLetter"/>
      <w:lvlText w:val="%2)"/>
      <w:lvlJc w:val="left"/>
      <w:pPr>
        <w:ind w:left="1258" w:hanging="420"/>
      </w:pPr>
      <w:rPr>
        <w:rFonts w:hint="default" w:ascii="Times New Roman" w:hAnsi="Times New Roman" w:cs="Times New Roman"/>
      </w:rPr>
    </w:lvl>
    <w:lvl w:ilvl="2" w:tentative="0">
      <w:start w:val="1"/>
      <w:numFmt w:val="lowerRoman"/>
      <w:lvlText w:val="%3."/>
      <w:lvlJc w:val="right"/>
      <w:pPr>
        <w:ind w:left="1678" w:hanging="420"/>
      </w:pPr>
      <w:rPr>
        <w:rFonts w:hint="default" w:ascii="Times New Roman" w:hAnsi="Times New Roman" w:cs="Times New Roman"/>
      </w:rPr>
    </w:lvl>
    <w:lvl w:ilvl="3" w:tentative="0">
      <w:start w:val="1"/>
      <w:numFmt w:val="decimal"/>
      <w:lvlText w:val="%4."/>
      <w:lvlJc w:val="left"/>
      <w:pPr>
        <w:ind w:left="2098" w:hanging="420"/>
      </w:pPr>
      <w:rPr>
        <w:rFonts w:hint="default" w:ascii="Times New Roman" w:hAnsi="Times New Roman" w:cs="Times New Roman"/>
      </w:rPr>
    </w:lvl>
    <w:lvl w:ilvl="4" w:tentative="0">
      <w:start w:val="1"/>
      <w:numFmt w:val="lowerLetter"/>
      <w:lvlText w:val="%5)"/>
      <w:lvlJc w:val="left"/>
      <w:pPr>
        <w:ind w:left="2518" w:hanging="420"/>
      </w:pPr>
      <w:rPr>
        <w:rFonts w:hint="default" w:ascii="Times New Roman" w:hAnsi="Times New Roman" w:cs="Times New Roman"/>
      </w:rPr>
    </w:lvl>
    <w:lvl w:ilvl="5" w:tentative="0">
      <w:start w:val="1"/>
      <w:numFmt w:val="lowerRoman"/>
      <w:lvlText w:val="%6."/>
      <w:lvlJc w:val="right"/>
      <w:pPr>
        <w:ind w:left="2938" w:hanging="420"/>
      </w:pPr>
      <w:rPr>
        <w:rFonts w:hint="default" w:ascii="Times New Roman" w:hAnsi="Times New Roman" w:cs="Times New Roman"/>
      </w:rPr>
    </w:lvl>
    <w:lvl w:ilvl="6" w:tentative="0">
      <w:start w:val="1"/>
      <w:numFmt w:val="decimal"/>
      <w:lvlText w:val="%7."/>
      <w:lvlJc w:val="left"/>
      <w:pPr>
        <w:ind w:left="3358" w:hanging="420"/>
      </w:pPr>
      <w:rPr>
        <w:rFonts w:hint="default" w:ascii="Times New Roman" w:hAnsi="Times New Roman" w:cs="Times New Roman"/>
      </w:rPr>
    </w:lvl>
    <w:lvl w:ilvl="7" w:tentative="0">
      <w:start w:val="1"/>
      <w:numFmt w:val="lowerLetter"/>
      <w:lvlText w:val="%8)"/>
      <w:lvlJc w:val="left"/>
      <w:pPr>
        <w:ind w:left="3778" w:hanging="420"/>
      </w:pPr>
      <w:rPr>
        <w:rFonts w:hint="default" w:ascii="Times New Roman" w:hAnsi="Times New Roman" w:cs="Times New Roman"/>
      </w:rPr>
    </w:lvl>
    <w:lvl w:ilvl="8" w:tentative="0">
      <w:start w:val="1"/>
      <w:numFmt w:val="lowerRoman"/>
      <w:lvlText w:val="%9."/>
      <w:lvlJc w:val="right"/>
      <w:pPr>
        <w:ind w:left="4198" w:hanging="420"/>
      </w:pPr>
      <w:rPr>
        <w:rFonts w:hint="default" w:ascii="Times New Roman" w:hAnsi="Times New Roman" w:cs="Times New Roman"/>
      </w:rPr>
    </w:lvl>
  </w:abstractNum>
  <w:abstractNum w:abstractNumId="3">
    <w:nsid w:val="2D2510A5"/>
    <w:multiLevelType w:val="multilevel"/>
    <w:tmpl w:val="2D2510A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2D8F7DC4"/>
    <w:multiLevelType w:val="multilevel"/>
    <w:tmpl w:val="2D8F7DC4"/>
    <w:lvl w:ilvl="0" w:tentative="0">
      <w:start w:val="1"/>
      <w:numFmt w:val="bullet"/>
      <w:lvlText w:val=""/>
      <w:lvlJc w:val="left"/>
      <w:pPr>
        <w:tabs>
          <w:tab w:val="left" w:pos="1280"/>
        </w:tabs>
        <w:ind w:left="1280" w:hanging="360"/>
      </w:pPr>
      <w:rPr>
        <w:rFonts w:hint="default" w:ascii="Symbol" w:hAnsi="Symbol"/>
      </w:rPr>
    </w:lvl>
    <w:lvl w:ilvl="1" w:tentative="0">
      <w:start w:val="1"/>
      <w:numFmt w:val="bullet"/>
      <w:lvlText w:val=""/>
      <w:lvlJc w:val="left"/>
      <w:pPr>
        <w:tabs>
          <w:tab w:val="left" w:pos="1400"/>
        </w:tabs>
        <w:ind w:left="1400" w:hanging="420"/>
      </w:pPr>
      <w:rPr>
        <w:rFonts w:hint="default" w:ascii="Wingdings" w:hAnsi="Wingdings"/>
      </w:rPr>
    </w:lvl>
    <w:lvl w:ilvl="2" w:tentative="0">
      <w:start w:val="1"/>
      <w:numFmt w:val="bullet"/>
      <w:lvlText w:val=""/>
      <w:lvlJc w:val="left"/>
      <w:pPr>
        <w:tabs>
          <w:tab w:val="left" w:pos="1820"/>
        </w:tabs>
        <w:ind w:left="1820" w:hanging="420"/>
      </w:pPr>
      <w:rPr>
        <w:rFonts w:hint="default" w:ascii="Wingdings" w:hAnsi="Wingdings"/>
      </w:rPr>
    </w:lvl>
    <w:lvl w:ilvl="3" w:tentative="0">
      <w:start w:val="1"/>
      <w:numFmt w:val="bullet"/>
      <w:lvlText w:val=""/>
      <w:lvlJc w:val="left"/>
      <w:pPr>
        <w:tabs>
          <w:tab w:val="left" w:pos="2240"/>
        </w:tabs>
        <w:ind w:left="2240" w:hanging="420"/>
      </w:pPr>
      <w:rPr>
        <w:rFonts w:hint="default" w:ascii="Wingdings" w:hAnsi="Wingdings"/>
      </w:rPr>
    </w:lvl>
    <w:lvl w:ilvl="4" w:tentative="0">
      <w:start w:val="1"/>
      <w:numFmt w:val="bullet"/>
      <w:lvlText w:val=""/>
      <w:lvlJc w:val="left"/>
      <w:pPr>
        <w:tabs>
          <w:tab w:val="left" w:pos="2660"/>
        </w:tabs>
        <w:ind w:left="2660" w:hanging="420"/>
      </w:pPr>
      <w:rPr>
        <w:rFonts w:hint="default" w:ascii="Wingdings" w:hAnsi="Wingdings"/>
      </w:rPr>
    </w:lvl>
    <w:lvl w:ilvl="5" w:tentative="0">
      <w:start w:val="1"/>
      <w:numFmt w:val="bullet"/>
      <w:lvlText w:val=""/>
      <w:lvlJc w:val="left"/>
      <w:pPr>
        <w:tabs>
          <w:tab w:val="left" w:pos="3080"/>
        </w:tabs>
        <w:ind w:left="3080" w:hanging="420"/>
      </w:pPr>
      <w:rPr>
        <w:rFonts w:hint="default" w:ascii="Wingdings" w:hAnsi="Wingdings"/>
      </w:rPr>
    </w:lvl>
    <w:lvl w:ilvl="6" w:tentative="0">
      <w:start w:val="1"/>
      <w:numFmt w:val="bullet"/>
      <w:lvlText w:val=""/>
      <w:lvlJc w:val="left"/>
      <w:pPr>
        <w:tabs>
          <w:tab w:val="left" w:pos="3500"/>
        </w:tabs>
        <w:ind w:left="3500" w:hanging="420"/>
      </w:pPr>
      <w:rPr>
        <w:rFonts w:hint="default" w:ascii="Wingdings" w:hAnsi="Wingdings"/>
      </w:rPr>
    </w:lvl>
    <w:lvl w:ilvl="7" w:tentative="0">
      <w:start w:val="1"/>
      <w:numFmt w:val="bullet"/>
      <w:lvlText w:val=""/>
      <w:lvlJc w:val="left"/>
      <w:pPr>
        <w:tabs>
          <w:tab w:val="left" w:pos="3920"/>
        </w:tabs>
        <w:ind w:left="3920" w:hanging="420"/>
      </w:pPr>
      <w:rPr>
        <w:rFonts w:hint="default" w:ascii="Wingdings" w:hAnsi="Wingdings"/>
      </w:rPr>
    </w:lvl>
    <w:lvl w:ilvl="8" w:tentative="0">
      <w:start w:val="1"/>
      <w:numFmt w:val="bullet"/>
      <w:lvlText w:val=""/>
      <w:lvlJc w:val="left"/>
      <w:pPr>
        <w:tabs>
          <w:tab w:val="left" w:pos="4340"/>
        </w:tabs>
        <w:ind w:left="4340" w:hanging="420"/>
      </w:pPr>
      <w:rPr>
        <w:rFonts w:hint="default" w:ascii="Wingdings" w:hAnsi="Wingdings"/>
      </w:rPr>
    </w:lvl>
  </w:abstractNum>
  <w:abstractNum w:abstractNumId="5">
    <w:nsid w:val="78FA62AA"/>
    <w:multiLevelType w:val="singleLevel"/>
    <w:tmpl w:val="78FA62AA"/>
    <w:lvl w:ilvl="0" w:tentative="0">
      <w:start w:val="9"/>
      <w:numFmt w:val="chineseCounting"/>
      <w:suff w:val="nothing"/>
      <w:lvlText w:val="%1、"/>
      <w:lvlJc w:val="left"/>
      <w:rPr>
        <w:rFonts w:hint="eastAsia"/>
      </w:rPr>
    </w:lvl>
  </w:abstractNum>
  <w:num w:numId="1">
    <w:abstractNumId w:val="0"/>
  </w:num>
  <w:num w:numId="2">
    <w:abstractNumId w:val="1"/>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616"/>
  <w:drawingGridVerticalSpacing w:val="158"/>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yZDRhYWJhMDcxMGRmYzM5N2RjYTQyNjgyMTE3YjEifQ=="/>
  </w:docVars>
  <w:rsids>
    <w:rsidRoot w:val="007C5F7B"/>
    <w:rsid w:val="00133387"/>
    <w:rsid w:val="0018072A"/>
    <w:rsid w:val="00264E69"/>
    <w:rsid w:val="00417EF4"/>
    <w:rsid w:val="00423C9E"/>
    <w:rsid w:val="00535E7A"/>
    <w:rsid w:val="00586FEC"/>
    <w:rsid w:val="005B238C"/>
    <w:rsid w:val="005F037B"/>
    <w:rsid w:val="00785895"/>
    <w:rsid w:val="007A1658"/>
    <w:rsid w:val="007C5F7B"/>
    <w:rsid w:val="009118A9"/>
    <w:rsid w:val="00A12741"/>
    <w:rsid w:val="00A83AD0"/>
    <w:rsid w:val="00B52690"/>
    <w:rsid w:val="00C26962"/>
    <w:rsid w:val="00C34DAD"/>
    <w:rsid w:val="00D309B7"/>
    <w:rsid w:val="00D42B17"/>
    <w:rsid w:val="00D91A1F"/>
    <w:rsid w:val="00DA5C53"/>
    <w:rsid w:val="00DA7757"/>
    <w:rsid w:val="00E04F9C"/>
    <w:rsid w:val="00F32F7E"/>
    <w:rsid w:val="00F50CDF"/>
    <w:rsid w:val="00F5308B"/>
    <w:rsid w:val="00FA00A3"/>
    <w:rsid w:val="01057174"/>
    <w:rsid w:val="01253372"/>
    <w:rsid w:val="012F41F1"/>
    <w:rsid w:val="015123B9"/>
    <w:rsid w:val="01646B80"/>
    <w:rsid w:val="01655E65"/>
    <w:rsid w:val="017B11E4"/>
    <w:rsid w:val="01852063"/>
    <w:rsid w:val="018C33F1"/>
    <w:rsid w:val="018C519F"/>
    <w:rsid w:val="01AD0A5B"/>
    <w:rsid w:val="01CC1A40"/>
    <w:rsid w:val="01DC09D6"/>
    <w:rsid w:val="01E762EA"/>
    <w:rsid w:val="01EB6E21"/>
    <w:rsid w:val="01EC3E90"/>
    <w:rsid w:val="01F176F8"/>
    <w:rsid w:val="01F3521E"/>
    <w:rsid w:val="020F5611"/>
    <w:rsid w:val="023575E5"/>
    <w:rsid w:val="024535A0"/>
    <w:rsid w:val="0248243C"/>
    <w:rsid w:val="024C0ED1"/>
    <w:rsid w:val="02510197"/>
    <w:rsid w:val="025B2DC4"/>
    <w:rsid w:val="025E5084"/>
    <w:rsid w:val="02644BED"/>
    <w:rsid w:val="026D3223"/>
    <w:rsid w:val="027F4D04"/>
    <w:rsid w:val="0281396C"/>
    <w:rsid w:val="02820281"/>
    <w:rsid w:val="029429C0"/>
    <w:rsid w:val="029D16E1"/>
    <w:rsid w:val="02B20C36"/>
    <w:rsid w:val="02B45164"/>
    <w:rsid w:val="02B7449E"/>
    <w:rsid w:val="02C72207"/>
    <w:rsid w:val="02C941D1"/>
    <w:rsid w:val="02D84414"/>
    <w:rsid w:val="02DC3F04"/>
    <w:rsid w:val="02DD1A2B"/>
    <w:rsid w:val="02F82E8B"/>
    <w:rsid w:val="02FB7226"/>
    <w:rsid w:val="03060F81"/>
    <w:rsid w:val="030D2310"/>
    <w:rsid w:val="031A67DB"/>
    <w:rsid w:val="037E320E"/>
    <w:rsid w:val="03800D34"/>
    <w:rsid w:val="038A570F"/>
    <w:rsid w:val="03B275FF"/>
    <w:rsid w:val="03B64756"/>
    <w:rsid w:val="03C30C20"/>
    <w:rsid w:val="03C72AB9"/>
    <w:rsid w:val="03DF061C"/>
    <w:rsid w:val="03E110C7"/>
    <w:rsid w:val="03F4702C"/>
    <w:rsid w:val="03FA6D38"/>
    <w:rsid w:val="0400096B"/>
    <w:rsid w:val="04001E75"/>
    <w:rsid w:val="04207D57"/>
    <w:rsid w:val="04243DB5"/>
    <w:rsid w:val="04333FF8"/>
    <w:rsid w:val="0438160E"/>
    <w:rsid w:val="043F299D"/>
    <w:rsid w:val="043F696E"/>
    <w:rsid w:val="04502E07"/>
    <w:rsid w:val="045B52FD"/>
    <w:rsid w:val="045C354F"/>
    <w:rsid w:val="045F4DED"/>
    <w:rsid w:val="04706D24"/>
    <w:rsid w:val="04806B11"/>
    <w:rsid w:val="04877EA0"/>
    <w:rsid w:val="04894595"/>
    <w:rsid w:val="04904FA7"/>
    <w:rsid w:val="04A226AA"/>
    <w:rsid w:val="04AA7CA9"/>
    <w:rsid w:val="04C11604"/>
    <w:rsid w:val="04DC4690"/>
    <w:rsid w:val="04E452F2"/>
    <w:rsid w:val="04ED4BEA"/>
    <w:rsid w:val="050B4AA2"/>
    <w:rsid w:val="050D2A9B"/>
    <w:rsid w:val="05151950"/>
    <w:rsid w:val="051C49E3"/>
    <w:rsid w:val="051F2311"/>
    <w:rsid w:val="052D36E5"/>
    <w:rsid w:val="053E0EA6"/>
    <w:rsid w:val="05450E71"/>
    <w:rsid w:val="05573D16"/>
    <w:rsid w:val="0559183C"/>
    <w:rsid w:val="05616943"/>
    <w:rsid w:val="05650CA4"/>
    <w:rsid w:val="05704DD8"/>
    <w:rsid w:val="057448C8"/>
    <w:rsid w:val="05755215"/>
    <w:rsid w:val="057C19CF"/>
    <w:rsid w:val="058368B9"/>
    <w:rsid w:val="05942874"/>
    <w:rsid w:val="05A131E3"/>
    <w:rsid w:val="05B055FC"/>
    <w:rsid w:val="05B253F0"/>
    <w:rsid w:val="05D47115"/>
    <w:rsid w:val="05DB66F5"/>
    <w:rsid w:val="05DE7CA1"/>
    <w:rsid w:val="05EC0902"/>
    <w:rsid w:val="0620235A"/>
    <w:rsid w:val="06384302"/>
    <w:rsid w:val="064424ED"/>
    <w:rsid w:val="06471158"/>
    <w:rsid w:val="06475B39"/>
    <w:rsid w:val="065345F9"/>
    <w:rsid w:val="065B3392"/>
    <w:rsid w:val="06606BFB"/>
    <w:rsid w:val="0661309E"/>
    <w:rsid w:val="066F5090"/>
    <w:rsid w:val="0673692E"/>
    <w:rsid w:val="06775A1D"/>
    <w:rsid w:val="06783F44"/>
    <w:rsid w:val="06935222"/>
    <w:rsid w:val="069622F6"/>
    <w:rsid w:val="069F5975"/>
    <w:rsid w:val="06A116ED"/>
    <w:rsid w:val="06A30764"/>
    <w:rsid w:val="06AE51A0"/>
    <w:rsid w:val="06AE5BB8"/>
    <w:rsid w:val="06C07699"/>
    <w:rsid w:val="06C47189"/>
    <w:rsid w:val="06D00631"/>
    <w:rsid w:val="06F85F55"/>
    <w:rsid w:val="070659F4"/>
    <w:rsid w:val="070D6D82"/>
    <w:rsid w:val="07106873"/>
    <w:rsid w:val="071B277E"/>
    <w:rsid w:val="07267138"/>
    <w:rsid w:val="073562D9"/>
    <w:rsid w:val="07407CDF"/>
    <w:rsid w:val="07464042"/>
    <w:rsid w:val="0749768F"/>
    <w:rsid w:val="076D212F"/>
    <w:rsid w:val="07731CCC"/>
    <w:rsid w:val="078D1C71"/>
    <w:rsid w:val="07996868"/>
    <w:rsid w:val="079D7527"/>
    <w:rsid w:val="07A11279"/>
    <w:rsid w:val="07A5520D"/>
    <w:rsid w:val="07A64AE1"/>
    <w:rsid w:val="07CA09F7"/>
    <w:rsid w:val="07E35D35"/>
    <w:rsid w:val="07E86EA8"/>
    <w:rsid w:val="07EB0BBB"/>
    <w:rsid w:val="07EC6998"/>
    <w:rsid w:val="07F24C84"/>
    <w:rsid w:val="07F25F78"/>
    <w:rsid w:val="080F6C6D"/>
    <w:rsid w:val="08161C67"/>
    <w:rsid w:val="08236132"/>
    <w:rsid w:val="08327D56"/>
    <w:rsid w:val="083D2C15"/>
    <w:rsid w:val="08444A26"/>
    <w:rsid w:val="084F781B"/>
    <w:rsid w:val="08564759"/>
    <w:rsid w:val="086504F8"/>
    <w:rsid w:val="086A1FB2"/>
    <w:rsid w:val="086C6A36"/>
    <w:rsid w:val="08716E9D"/>
    <w:rsid w:val="08744BDF"/>
    <w:rsid w:val="087D5842"/>
    <w:rsid w:val="088A7F5F"/>
    <w:rsid w:val="08A059D4"/>
    <w:rsid w:val="08A90D2D"/>
    <w:rsid w:val="08B84ACC"/>
    <w:rsid w:val="08DB07BA"/>
    <w:rsid w:val="08F655F4"/>
    <w:rsid w:val="08F8136C"/>
    <w:rsid w:val="09044AD8"/>
    <w:rsid w:val="09045F63"/>
    <w:rsid w:val="0906742E"/>
    <w:rsid w:val="09173EE8"/>
    <w:rsid w:val="091A12E3"/>
    <w:rsid w:val="091A5787"/>
    <w:rsid w:val="0922463B"/>
    <w:rsid w:val="092C1016"/>
    <w:rsid w:val="092D3D00"/>
    <w:rsid w:val="092E2FE0"/>
    <w:rsid w:val="094E3682"/>
    <w:rsid w:val="094E4CA7"/>
    <w:rsid w:val="09565A7D"/>
    <w:rsid w:val="095861D8"/>
    <w:rsid w:val="095C5D9F"/>
    <w:rsid w:val="09656802"/>
    <w:rsid w:val="097F1A8E"/>
    <w:rsid w:val="09842C00"/>
    <w:rsid w:val="09866978"/>
    <w:rsid w:val="098A06BB"/>
    <w:rsid w:val="09A3577C"/>
    <w:rsid w:val="09A82D92"/>
    <w:rsid w:val="09AA6B0A"/>
    <w:rsid w:val="09AB63DF"/>
    <w:rsid w:val="09AD2157"/>
    <w:rsid w:val="09BE4364"/>
    <w:rsid w:val="09D41DD9"/>
    <w:rsid w:val="09D65B51"/>
    <w:rsid w:val="09EB0ED1"/>
    <w:rsid w:val="09F506BC"/>
    <w:rsid w:val="09F61D50"/>
    <w:rsid w:val="0A00672A"/>
    <w:rsid w:val="0A1175AD"/>
    <w:rsid w:val="0A2148F3"/>
    <w:rsid w:val="0A2F5262"/>
    <w:rsid w:val="0A4A5BF8"/>
    <w:rsid w:val="0A4C3B93"/>
    <w:rsid w:val="0A563682"/>
    <w:rsid w:val="0A5C1147"/>
    <w:rsid w:val="0A6854E5"/>
    <w:rsid w:val="0A8A532C"/>
    <w:rsid w:val="0A8E1F88"/>
    <w:rsid w:val="0A943317"/>
    <w:rsid w:val="0AA90B70"/>
    <w:rsid w:val="0ABD3DBD"/>
    <w:rsid w:val="0ABE7B24"/>
    <w:rsid w:val="0ACB31DC"/>
    <w:rsid w:val="0ADB1327"/>
    <w:rsid w:val="0ADB2670"/>
    <w:rsid w:val="0AE25A73"/>
    <w:rsid w:val="0AE4604C"/>
    <w:rsid w:val="0AF344E1"/>
    <w:rsid w:val="0AFF4C34"/>
    <w:rsid w:val="0B136931"/>
    <w:rsid w:val="0B185CF6"/>
    <w:rsid w:val="0B4765DB"/>
    <w:rsid w:val="0B4E5BBB"/>
    <w:rsid w:val="0B574A70"/>
    <w:rsid w:val="0B5F70DD"/>
    <w:rsid w:val="0B7D3DAB"/>
    <w:rsid w:val="0B8A0ABD"/>
    <w:rsid w:val="0B8E420A"/>
    <w:rsid w:val="0B9653A7"/>
    <w:rsid w:val="0B977132"/>
    <w:rsid w:val="0B996E37"/>
    <w:rsid w:val="0B9F01C5"/>
    <w:rsid w:val="0BBC2E0F"/>
    <w:rsid w:val="0BC47C2C"/>
    <w:rsid w:val="0BCB0FBA"/>
    <w:rsid w:val="0BD240F7"/>
    <w:rsid w:val="0BE71381"/>
    <w:rsid w:val="0BEB51B8"/>
    <w:rsid w:val="0BF1322A"/>
    <w:rsid w:val="0C0355A4"/>
    <w:rsid w:val="0C0A7D34"/>
    <w:rsid w:val="0C0E410A"/>
    <w:rsid w:val="0C1B3CF0"/>
    <w:rsid w:val="0C2506CA"/>
    <w:rsid w:val="0C2A7A8F"/>
    <w:rsid w:val="0C2C7CAB"/>
    <w:rsid w:val="0C4A39D3"/>
    <w:rsid w:val="0C5114BF"/>
    <w:rsid w:val="0C511B61"/>
    <w:rsid w:val="0C523489"/>
    <w:rsid w:val="0C526FE5"/>
    <w:rsid w:val="0C5A3C63"/>
    <w:rsid w:val="0C5B40EC"/>
    <w:rsid w:val="0C5C5076"/>
    <w:rsid w:val="0C670CE3"/>
    <w:rsid w:val="0C760F26"/>
    <w:rsid w:val="0C7B653C"/>
    <w:rsid w:val="0C811679"/>
    <w:rsid w:val="0C8278CB"/>
    <w:rsid w:val="0C8F1FE8"/>
    <w:rsid w:val="0C9910B8"/>
    <w:rsid w:val="0C9F3748"/>
    <w:rsid w:val="0CAE6912"/>
    <w:rsid w:val="0CB952B6"/>
    <w:rsid w:val="0CBA49B7"/>
    <w:rsid w:val="0CC31C91"/>
    <w:rsid w:val="0CC9582B"/>
    <w:rsid w:val="0CD21ED4"/>
    <w:rsid w:val="0CD74A7C"/>
    <w:rsid w:val="0CE73BD2"/>
    <w:rsid w:val="0CFA3905"/>
    <w:rsid w:val="0D097FEC"/>
    <w:rsid w:val="0D115DEF"/>
    <w:rsid w:val="0D1D3A97"/>
    <w:rsid w:val="0D224C0A"/>
    <w:rsid w:val="0D2564A8"/>
    <w:rsid w:val="0D2A1D10"/>
    <w:rsid w:val="0D330EA4"/>
    <w:rsid w:val="0D366907"/>
    <w:rsid w:val="0D3A63F7"/>
    <w:rsid w:val="0D417786"/>
    <w:rsid w:val="0D4373D0"/>
    <w:rsid w:val="0D4B4161"/>
    <w:rsid w:val="0D58062B"/>
    <w:rsid w:val="0D6236CD"/>
    <w:rsid w:val="0D692839"/>
    <w:rsid w:val="0D6B65B1"/>
    <w:rsid w:val="0D88388F"/>
    <w:rsid w:val="0D904269"/>
    <w:rsid w:val="0DA815B3"/>
    <w:rsid w:val="0DB310B9"/>
    <w:rsid w:val="0DC40E67"/>
    <w:rsid w:val="0DCB704F"/>
    <w:rsid w:val="0DD51C7C"/>
    <w:rsid w:val="0DDA7292"/>
    <w:rsid w:val="0DE17F09"/>
    <w:rsid w:val="0DF0240D"/>
    <w:rsid w:val="0DF35375"/>
    <w:rsid w:val="0DF465A6"/>
    <w:rsid w:val="0E0A5DCA"/>
    <w:rsid w:val="0E15476E"/>
    <w:rsid w:val="0E1C6AA6"/>
    <w:rsid w:val="0E323572"/>
    <w:rsid w:val="0E4018D9"/>
    <w:rsid w:val="0E4768C0"/>
    <w:rsid w:val="0E565E4D"/>
    <w:rsid w:val="0E576B35"/>
    <w:rsid w:val="0E590AFF"/>
    <w:rsid w:val="0E620CFF"/>
    <w:rsid w:val="0E6574A4"/>
    <w:rsid w:val="0E6A5671"/>
    <w:rsid w:val="0E715598"/>
    <w:rsid w:val="0E7E0BED"/>
    <w:rsid w:val="0E9246B3"/>
    <w:rsid w:val="0E961880"/>
    <w:rsid w:val="0E99714E"/>
    <w:rsid w:val="0E9D56C5"/>
    <w:rsid w:val="0EB67D00"/>
    <w:rsid w:val="0EC87A33"/>
    <w:rsid w:val="0EE02FCE"/>
    <w:rsid w:val="0F2F0A8D"/>
    <w:rsid w:val="0F5F2145"/>
    <w:rsid w:val="0F706100"/>
    <w:rsid w:val="0F814F1B"/>
    <w:rsid w:val="0F8648F6"/>
    <w:rsid w:val="0F890F70"/>
    <w:rsid w:val="0F93609B"/>
    <w:rsid w:val="0FAC2EB1"/>
    <w:rsid w:val="0FB30C37"/>
    <w:rsid w:val="0FC74F9C"/>
    <w:rsid w:val="0FD06A4D"/>
    <w:rsid w:val="0FDD270D"/>
    <w:rsid w:val="0FE12B5A"/>
    <w:rsid w:val="0FE4264A"/>
    <w:rsid w:val="0FE8213B"/>
    <w:rsid w:val="0FEF171B"/>
    <w:rsid w:val="0FFA3C1C"/>
    <w:rsid w:val="10264A11"/>
    <w:rsid w:val="102C74E7"/>
    <w:rsid w:val="10321608"/>
    <w:rsid w:val="103A04BC"/>
    <w:rsid w:val="103C3A4B"/>
    <w:rsid w:val="104B1D7A"/>
    <w:rsid w:val="10686DD7"/>
    <w:rsid w:val="107F5F56"/>
    <w:rsid w:val="1097590F"/>
    <w:rsid w:val="10AA3708"/>
    <w:rsid w:val="10AF4A06"/>
    <w:rsid w:val="10B23CF3"/>
    <w:rsid w:val="10B7591C"/>
    <w:rsid w:val="10B9203B"/>
    <w:rsid w:val="10BC3B69"/>
    <w:rsid w:val="10C1473A"/>
    <w:rsid w:val="10C304B2"/>
    <w:rsid w:val="10D206F5"/>
    <w:rsid w:val="10D64689"/>
    <w:rsid w:val="10DB78ED"/>
    <w:rsid w:val="10DC1574"/>
    <w:rsid w:val="10E24DDC"/>
    <w:rsid w:val="114F7F97"/>
    <w:rsid w:val="11531836"/>
    <w:rsid w:val="11537A88"/>
    <w:rsid w:val="116C0B49"/>
    <w:rsid w:val="118934A9"/>
    <w:rsid w:val="118E13DA"/>
    <w:rsid w:val="119500A0"/>
    <w:rsid w:val="1198193E"/>
    <w:rsid w:val="119B4F8B"/>
    <w:rsid w:val="119D6F55"/>
    <w:rsid w:val="11A2456B"/>
    <w:rsid w:val="11C41482"/>
    <w:rsid w:val="11CF24B9"/>
    <w:rsid w:val="11D411D0"/>
    <w:rsid w:val="11D861DF"/>
    <w:rsid w:val="11DD1A47"/>
    <w:rsid w:val="11F03528"/>
    <w:rsid w:val="11F052D6"/>
    <w:rsid w:val="11FF376C"/>
    <w:rsid w:val="12046FD4"/>
    <w:rsid w:val="12080406"/>
    <w:rsid w:val="121810FD"/>
    <w:rsid w:val="121E62E8"/>
    <w:rsid w:val="121F3E0E"/>
    <w:rsid w:val="12395518"/>
    <w:rsid w:val="12443874"/>
    <w:rsid w:val="12641821"/>
    <w:rsid w:val="126D6927"/>
    <w:rsid w:val="1283439D"/>
    <w:rsid w:val="128B4FFF"/>
    <w:rsid w:val="129A7F9D"/>
    <w:rsid w:val="12A52565"/>
    <w:rsid w:val="12AA36D7"/>
    <w:rsid w:val="12B409FA"/>
    <w:rsid w:val="12C66037"/>
    <w:rsid w:val="12CD73C6"/>
    <w:rsid w:val="12DE7825"/>
    <w:rsid w:val="12E0359D"/>
    <w:rsid w:val="12E27315"/>
    <w:rsid w:val="12FA4C16"/>
    <w:rsid w:val="12FD7D3B"/>
    <w:rsid w:val="13143247"/>
    <w:rsid w:val="13165211"/>
    <w:rsid w:val="132A1360"/>
    <w:rsid w:val="13385187"/>
    <w:rsid w:val="13515FD6"/>
    <w:rsid w:val="135F0966"/>
    <w:rsid w:val="136A730B"/>
    <w:rsid w:val="136E0BA9"/>
    <w:rsid w:val="13765CAF"/>
    <w:rsid w:val="13767A5D"/>
    <w:rsid w:val="137A57A0"/>
    <w:rsid w:val="13983E78"/>
    <w:rsid w:val="13985C26"/>
    <w:rsid w:val="13AF7402"/>
    <w:rsid w:val="13B44A8A"/>
    <w:rsid w:val="13C335A6"/>
    <w:rsid w:val="13D03611"/>
    <w:rsid w:val="13D824C6"/>
    <w:rsid w:val="13EE5846"/>
    <w:rsid w:val="13F54E26"/>
    <w:rsid w:val="13FD21A1"/>
    <w:rsid w:val="14092680"/>
    <w:rsid w:val="141A663B"/>
    <w:rsid w:val="1433594E"/>
    <w:rsid w:val="144162BD"/>
    <w:rsid w:val="147072F3"/>
    <w:rsid w:val="14736440"/>
    <w:rsid w:val="14776269"/>
    <w:rsid w:val="148D505F"/>
    <w:rsid w:val="14930AA5"/>
    <w:rsid w:val="14953B17"/>
    <w:rsid w:val="14966C1B"/>
    <w:rsid w:val="14986CC5"/>
    <w:rsid w:val="14A558E5"/>
    <w:rsid w:val="14A64372"/>
    <w:rsid w:val="14BE16BC"/>
    <w:rsid w:val="14BE2E84"/>
    <w:rsid w:val="14D507B4"/>
    <w:rsid w:val="14E629C1"/>
    <w:rsid w:val="14E76E65"/>
    <w:rsid w:val="14F37726"/>
    <w:rsid w:val="14FA1AF0"/>
    <w:rsid w:val="14FB46BE"/>
    <w:rsid w:val="152C2AC9"/>
    <w:rsid w:val="152F4368"/>
    <w:rsid w:val="1537141C"/>
    <w:rsid w:val="15405622"/>
    <w:rsid w:val="15473087"/>
    <w:rsid w:val="158030B9"/>
    <w:rsid w:val="15AF7257"/>
    <w:rsid w:val="15B036FB"/>
    <w:rsid w:val="15B17473"/>
    <w:rsid w:val="15BA6327"/>
    <w:rsid w:val="15BE749A"/>
    <w:rsid w:val="15C139D0"/>
    <w:rsid w:val="15C643BD"/>
    <w:rsid w:val="15C7252E"/>
    <w:rsid w:val="15CA22E2"/>
    <w:rsid w:val="15CA5E3E"/>
    <w:rsid w:val="15D31197"/>
    <w:rsid w:val="15D867AD"/>
    <w:rsid w:val="15E72E94"/>
    <w:rsid w:val="15E81CEA"/>
    <w:rsid w:val="15F35395"/>
    <w:rsid w:val="15FD7FC2"/>
    <w:rsid w:val="15FF01DE"/>
    <w:rsid w:val="15FF1F8C"/>
    <w:rsid w:val="16021A7C"/>
    <w:rsid w:val="160475A2"/>
    <w:rsid w:val="160F7CF5"/>
    <w:rsid w:val="161812A0"/>
    <w:rsid w:val="16254DD9"/>
    <w:rsid w:val="162B2D81"/>
    <w:rsid w:val="162C08A7"/>
    <w:rsid w:val="162D4D4B"/>
    <w:rsid w:val="163634D4"/>
    <w:rsid w:val="16464DF9"/>
    <w:rsid w:val="164B51D1"/>
    <w:rsid w:val="1651030E"/>
    <w:rsid w:val="167F131F"/>
    <w:rsid w:val="1681329A"/>
    <w:rsid w:val="16866209"/>
    <w:rsid w:val="168C1346"/>
    <w:rsid w:val="16917AAF"/>
    <w:rsid w:val="169C77DB"/>
    <w:rsid w:val="16A36DBB"/>
    <w:rsid w:val="16A565A2"/>
    <w:rsid w:val="16A91EF8"/>
    <w:rsid w:val="16B40FC8"/>
    <w:rsid w:val="16BA4105"/>
    <w:rsid w:val="16BE1E47"/>
    <w:rsid w:val="16CF42F2"/>
    <w:rsid w:val="16D43419"/>
    <w:rsid w:val="16DC22CD"/>
    <w:rsid w:val="16E3540A"/>
    <w:rsid w:val="16EA2C3C"/>
    <w:rsid w:val="16FC471D"/>
    <w:rsid w:val="170A0BE8"/>
    <w:rsid w:val="171F5F3D"/>
    <w:rsid w:val="174D24DD"/>
    <w:rsid w:val="174E374F"/>
    <w:rsid w:val="1752433D"/>
    <w:rsid w:val="17570BA1"/>
    <w:rsid w:val="175E3268"/>
    <w:rsid w:val="1768600A"/>
    <w:rsid w:val="178070FD"/>
    <w:rsid w:val="179B3F36"/>
    <w:rsid w:val="17AC7EF2"/>
    <w:rsid w:val="17C0399D"/>
    <w:rsid w:val="17C43F85"/>
    <w:rsid w:val="17CD2C80"/>
    <w:rsid w:val="17D11706"/>
    <w:rsid w:val="17D26FEE"/>
    <w:rsid w:val="17E21B65"/>
    <w:rsid w:val="17E31439"/>
    <w:rsid w:val="17EC4792"/>
    <w:rsid w:val="17F84EE5"/>
    <w:rsid w:val="17FD24FB"/>
    <w:rsid w:val="18216483"/>
    <w:rsid w:val="18253800"/>
    <w:rsid w:val="18381830"/>
    <w:rsid w:val="184E2D57"/>
    <w:rsid w:val="185145F5"/>
    <w:rsid w:val="18561C0B"/>
    <w:rsid w:val="185D2F9A"/>
    <w:rsid w:val="186E51A7"/>
    <w:rsid w:val="186F05F1"/>
    <w:rsid w:val="187971E2"/>
    <w:rsid w:val="187F5606"/>
    <w:rsid w:val="18893D8F"/>
    <w:rsid w:val="188D1AD1"/>
    <w:rsid w:val="189664AC"/>
    <w:rsid w:val="18A84B5D"/>
    <w:rsid w:val="18C16F43"/>
    <w:rsid w:val="18DD40DB"/>
    <w:rsid w:val="18DD5F91"/>
    <w:rsid w:val="18E26AA6"/>
    <w:rsid w:val="18ED6A14"/>
    <w:rsid w:val="18F97167"/>
    <w:rsid w:val="18FC27B3"/>
    <w:rsid w:val="19031D93"/>
    <w:rsid w:val="19120228"/>
    <w:rsid w:val="191945F0"/>
    <w:rsid w:val="191F2586"/>
    <w:rsid w:val="19212219"/>
    <w:rsid w:val="192817FA"/>
    <w:rsid w:val="192B12EA"/>
    <w:rsid w:val="192B3098"/>
    <w:rsid w:val="19411560"/>
    <w:rsid w:val="1951749F"/>
    <w:rsid w:val="195F097F"/>
    <w:rsid w:val="19632832"/>
    <w:rsid w:val="19636CD6"/>
    <w:rsid w:val="196842EC"/>
    <w:rsid w:val="19722A75"/>
    <w:rsid w:val="197310D0"/>
    <w:rsid w:val="19747A66"/>
    <w:rsid w:val="19771B7E"/>
    <w:rsid w:val="198C189C"/>
    <w:rsid w:val="199E527C"/>
    <w:rsid w:val="19B337B9"/>
    <w:rsid w:val="19B4308D"/>
    <w:rsid w:val="19B968F6"/>
    <w:rsid w:val="19C63549"/>
    <w:rsid w:val="19D5046D"/>
    <w:rsid w:val="19D61256"/>
    <w:rsid w:val="19D63004"/>
    <w:rsid w:val="19D715DB"/>
    <w:rsid w:val="19DB686C"/>
    <w:rsid w:val="19DC4392"/>
    <w:rsid w:val="19E6554B"/>
    <w:rsid w:val="19EC6CCB"/>
    <w:rsid w:val="19F142E2"/>
    <w:rsid w:val="19F53DD2"/>
    <w:rsid w:val="19FB0CBC"/>
    <w:rsid w:val="1A0758B3"/>
    <w:rsid w:val="1A0D279E"/>
    <w:rsid w:val="1A1143AD"/>
    <w:rsid w:val="1A187AC0"/>
    <w:rsid w:val="1A1B135F"/>
    <w:rsid w:val="1A344F86"/>
    <w:rsid w:val="1A444411"/>
    <w:rsid w:val="1A472154"/>
    <w:rsid w:val="1A5328A6"/>
    <w:rsid w:val="1A7E514F"/>
    <w:rsid w:val="1A83450F"/>
    <w:rsid w:val="1A8962C8"/>
    <w:rsid w:val="1AB07CF9"/>
    <w:rsid w:val="1AB53561"/>
    <w:rsid w:val="1AB772D9"/>
    <w:rsid w:val="1AC55416"/>
    <w:rsid w:val="1AD559B1"/>
    <w:rsid w:val="1AE31E7C"/>
    <w:rsid w:val="1AE71241"/>
    <w:rsid w:val="1AEE0821"/>
    <w:rsid w:val="1AF220BF"/>
    <w:rsid w:val="1AF5570C"/>
    <w:rsid w:val="1AFC21C3"/>
    <w:rsid w:val="1B027F11"/>
    <w:rsid w:val="1B0353F5"/>
    <w:rsid w:val="1B1F6C2C"/>
    <w:rsid w:val="1B2B737F"/>
    <w:rsid w:val="1B373F76"/>
    <w:rsid w:val="1B493F93"/>
    <w:rsid w:val="1B50328A"/>
    <w:rsid w:val="1B516EFF"/>
    <w:rsid w:val="1B5A1A13"/>
    <w:rsid w:val="1B5C578B"/>
    <w:rsid w:val="1B644941"/>
    <w:rsid w:val="1B6A738C"/>
    <w:rsid w:val="1B6F54BE"/>
    <w:rsid w:val="1B7E5B76"/>
    <w:rsid w:val="1B866CAC"/>
    <w:rsid w:val="1B965141"/>
    <w:rsid w:val="1BA203D0"/>
    <w:rsid w:val="1BAD4238"/>
    <w:rsid w:val="1BB13D28"/>
    <w:rsid w:val="1BBB6955"/>
    <w:rsid w:val="1BC13BAD"/>
    <w:rsid w:val="1BD23C9F"/>
    <w:rsid w:val="1BD32DD4"/>
    <w:rsid w:val="1BD6553D"/>
    <w:rsid w:val="1BE51C24"/>
    <w:rsid w:val="1BEC2C59"/>
    <w:rsid w:val="1BEF65FF"/>
    <w:rsid w:val="1C054410"/>
    <w:rsid w:val="1C0E117B"/>
    <w:rsid w:val="1C146065"/>
    <w:rsid w:val="1C201450"/>
    <w:rsid w:val="1C2A3ADB"/>
    <w:rsid w:val="1C2A5889"/>
    <w:rsid w:val="1C33473D"/>
    <w:rsid w:val="1C3564ED"/>
    <w:rsid w:val="1C36422E"/>
    <w:rsid w:val="1C5207A8"/>
    <w:rsid w:val="1C7D00AF"/>
    <w:rsid w:val="1C8442DB"/>
    <w:rsid w:val="1C8B457A"/>
    <w:rsid w:val="1C93342E"/>
    <w:rsid w:val="1C994D2B"/>
    <w:rsid w:val="1CAB4C1C"/>
    <w:rsid w:val="1CD852E5"/>
    <w:rsid w:val="1CDA2E0B"/>
    <w:rsid w:val="1CE912A0"/>
    <w:rsid w:val="1CE95744"/>
    <w:rsid w:val="1CF06AD2"/>
    <w:rsid w:val="1CF739BD"/>
    <w:rsid w:val="1CFA16FF"/>
    <w:rsid w:val="1CFA2C37"/>
    <w:rsid w:val="1CFD2F9D"/>
    <w:rsid w:val="1D0165EA"/>
    <w:rsid w:val="1D1E53EE"/>
    <w:rsid w:val="1D3F35B6"/>
    <w:rsid w:val="1D4C1905"/>
    <w:rsid w:val="1D6152DA"/>
    <w:rsid w:val="1D632E00"/>
    <w:rsid w:val="1D772D50"/>
    <w:rsid w:val="1D792624"/>
    <w:rsid w:val="1D8316F5"/>
    <w:rsid w:val="1D864D41"/>
    <w:rsid w:val="1D880AB9"/>
    <w:rsid w:val="1D8A15B2"/>
    <w:rsid w:val="1D8B67FB"/>
    <w:rsid w:val="1D905BC0"/>
    <w:rsid w:val="1D940290"/>
    <w:rsid w:val="1D9B4C90"/>
    <w:rsid w:val="1D9E208B"/>
    <w:rsid w:val="1DA376A1"/>
    <w:rsid w:val="1DB418AE"/>
    <w:rsid w:val="1DB573D4"/>
    <w:rsid w:val="1DD84838"/>
    <w:rsid w:val="1DF030A4"/>
    <w:rsid w:val="1E164317"/>
    <w:rsid w:val="1E214A6A"/>
    <w:rsid w:val="1E315122"/>
    <w:rsid w:val="1E3429EF"/>
    <w:rsid w:val="1E4F15D7"/>
    <w:rsid w:val="1E4F2A7A"/>
    <w:rsid w:val="1E522E75"/>
    <w:rsid w:val="1E533CBF"/>
    <w:rsid w:val="1E562965"/>
    <w:rsid w:val="1E620680"/>
    <w:rsid w:val="1E63121F"/>
    <w:rsid w:val="1E763007"/>
    <w:rsid w:val="1E803E86"/>
    <w:rsid w:val="1E9447DF"/>
    <w:rsid w:val="1E965458"/>
    <w:rsid w:val="1EA31EB9"/>
    <w:rsid w:val="1EA71413"/>
    <w:rsid w:val="1EC45B21"/>
    <w:rsid w:val="1EDA05E9"/>
    <w:rsid w:val="1EE164EB"/>
    <w:rsid w:val="1EFF124F"/>
    <w:rsid w:val="1F06438B"/>
    <w:rsid w:val="1F152820"/>
    <w:rsid w:val="1F1545CE"/>
    <w:rsid w:val="1F164BA3"/>
    <w:rsid w:val="1F176598"/>
    <w:rsid w:val="1F2B3DF2"/>
    <w:rsid w:val="1F4E7AE0"/>
    <w:rsid w:val="1F5A6485"/>
    <w:rsid w:val="1F66307C"/>
    <w:rsid w:val="1F6966C8"/>
    <w:rsid w:val="1F71101F"/>
    <w:rsid w:val="1FA97902"/>
    <w:rsid w:val="1FB73684"/>
    <w:rsid w:val="1FBA6F24"/>
    <w:rsid w:val="1FC009DE"/>
    <w:rsid w:val="1FC13AD0"/>
    <w:rsid w:val="1FCE3A60"/>
    <w:rsid w:val="1FDF698A"/>
    <w:rsid w:val="1FEA5A5B"/>
    <w:rsid w:val="1FF64400"/>
    <w:rsid w:val="20032679"/>
    <w:rsid w:val="200A1C59"/>
    <w:rsid w:val="20142AD8"/>
    <w:rsid w:val="20144886"/>
    <w:rsid w:val="20174376"/>
    <w:rsid w:val="201D010E"/>
    <w:rsid w:val="201F6892"/>
    <w:rsid w:val="202F348C"/>
    <w:rsid w:val="20360CA0"/>
    <w:rsid w:val="20362A4E"/>
    <w:rsid w:val="206C2914"/>
    <w:rsid w:val="207F5081"/>
    <w:rsid w:val="20823EE5"/>
    <w:rsid w:val="20825CA9"/>
    <w:rsid w:val="208A2D9A"/>
    <w:rsid w:val="209B6D55"/>
    <w:rsid w:val="20AC0F62"/>
    <w:rsid w:val="20B24CEB"/>
    <w:rsid w:val="20C91B14"/>
    <w:rsid w:val="20DD2ECA"/>
    <w:rsid w:val="20E57FD0"/>
    <w:rsid w:val="20EC75B1"/>
    <w:rsid w:val="20F5319F"/>
    <w:rsid w:val="20FA7F20"/>
    <w:rsid w:val="2100305C"/>
    <w:rsid w:val="210C7C53"/>
    <w:rsid w:val="210F6008"/>
    <w:rsid w:val="21140A0F"/>
    <w:rsid w:val="211803A6"/>
    <w:rsid w:val="211B39F2"/>
    <w:rsid w:val="21233B6B"/>
    <w:rsid w:val="212E3725"/>
    <w:rsid w:val="213A656E"/>
    <w:rsid w:val="21481F86"/>
    <w:rsid w:val="215533A8"/>
    <w:rsid w:val="21577120"/>
    <w:rsid w:val="215A276C"/>
    <w:rsid w:val="215B0293"/>
    <w:rsid w:val="21613AFB"/>
    <w:rsid w:val="21703D3E"/>
    <w:rsid w:val="217C6B87"/>
    <w:rsid w:val="2184020B"/>
    <w:rsid w:val="21867F0B"/>
    <w:rsid w:val="21893052"/>
    <w:rsid w:val="218B501C"/>
    <w:rsid w:val="219434DF"/>
    <w:rsid w:val="21997739"/>
    <w:rsid w:val="219E6AFD"/>
    <w:rsid w:val="21A34113"/>
    <w:rsid w:val="21AD478D"/>
    <w:rsid w:val="21BC2A75"/>
    <w:rsid w:val="21BC3427"/>
    <w:rsid w:val="21BE719F"/>
    <w:rsid w:val="21C4408A"/>
    <w:rsid w:val="21C9535E"/>
    <w:rsid w:val="21CB5418"/>
    <w:rsid w:val="21CD2F3E"/>
    <w:rsid w:val="21D02A2F"/>
    <w:rsid w:val="21D06ED2"/>
    <w:rsid w:val="21D106FB"/>
    <w:rsid w:val="21E20A5B"/>
    <w:rsid w:val="21EB09AA"/>
    <w:rsid w:val="21F229A5"/>
    <w:rsid w:val="21F7445F"/>
    <w:rsid w:val="21FF50C2"/>
    <w:rsid w:val="220A5F40"/>
    <w:rsid w:val="22281703"/>
    <w:rsid w:val="223631D9"/>
    <w:rsid w:val="22394A78"/>
    <w:rsid w:val="223B434C"/>
    <w:rsid w:val="22432FD4"/>
    <w:rsid w:val="22592A24"/>
    <w:rsid w:val="2268710B"/>
    <w:rsid w:val="226A2E83"/>
    <w:rsid w:val="226D64CF"/>
    <w:rsid w:val="22714212"/>
    <w:rsid w:val="227E692E"/>
    <w:rsid w:val="228127CE"/>
    <w:rsid w:val="228C2DF9"/>
    <w:rsid w:val="22963C78"/>
    <w:rsid w:val="229B752C"/>
    <w:rsid w:val="229C0B63"/>
    <w:rsid w:val="22A57E8C"/>
    <w:rsid w:val="22AC2983"/>
    <w:rsid w:val="22CD4FDB"/>
    <w:rsid w:val="22D95913"/>
    <w:rsid w:val="22EC3898"/>
    <w:rsid w:val="230E1A60"/>
    <w:rsid w:val="231C2B3E"/>
    <w:rsid w:val="23414670"/>
    <w:rsid w:val="2351194D"/>
    <w:rsid w:val="2358717F"/>
    <w:rsid w:val="235A6A54"/>
    <w:rsid w:val="23644CA1"/>
    <w:rsid w:val="23766583"/>
    <w:rsid w:val="237D0994"/>
    <w:rsid w:val="239A7CF9"/>
    <w:rsid w:val="239F1ACF"/>
    <w:rsid w:val="23A0431E"/>
    <w:rsid w:val="23A44173"/>
    <w:rsid w:val="23A85A16"/>
    <w:rsid w:val="23B0155F"/>
    <w:rsid w:val="23B343B6"/>
    <w:rsid w:val="23B50848"/>
    <w:rsid w:val="23B56380"/>
    <w:rsid w:val="23CD36CA"/>
    <w:rsid w:val="23CE11F0"/>
    <w:rsid w:val="23E17175"/>
    <w:rsid w:val="23F944BF"/>
    <w:rsid w:val="24073BA5"/>
    <w:rsid w:val="240864B0"/>
    <w:rsid w:val="240D1D18"/>
    <w:rsid w:val="24101808"/>
    <w:rsid w:val="242E1C8E"/>
    <w:rsid w:val="245C2C9F"/>
    <w:rsid w:val="245E2574"/>
    <w:rsid w:val="247578BD"/>
    <w:rsid w:val="247E49C4"/>
    <w:rsid w:val="24812CA8"/>
    <w:rsid w:val="24835002"/>
    <w:rsid w:val="248F6BD1"/>
    <w:rsid w:val="24A5429E"/>
    <w:rsid w:val="24B17582"/>
    <w:rsid w:val="24B71C84"/>
    <w:rsid w:val="24C703B6"/>
    <w:rsid w:val="24CF3471"/>
    <w:rsid w:val="24D24945"/>
    <w:rsid w:val="24DE3219"/>
    <w:rsid w:val="24F609FE"/>
    <w:rsid w:val="24FF24DE"/>
    <w:rsid w:val="250749B9"/>
    <w:rsid w:val="250F386E"/>
    <w:rsid w:val="251753BA"/>
    <w:rsid w:val="251F61A7"/>
    <w:rsid w:val="25333A00"/>
    <w:rsid w:val="25423C43"/>
    <w:rsid w:val="25493224"/>
    <w:rsid w:val="25496D80"/>
    <w:rsid w:val="256213C4"/>
    <w:rsid w:val="256736AA"/>
    <w:rsid w:val="256A4F48"/>
    <w:rsid w:val="258118BF"/>
    <w:rsid w:val="2593449F"/>
    <w:rsid w:val="259B3353"/>
    <w:rsid w:val="259D3570"/>
    <w:rsid w:val="25C44658"/>
    <w:rsid w:val="25D0124F"/>
    <w:rsid w:val="25E61B5D"/>
    <w:rsid w:val="25FF7D86"/>
    <w:rsid w:val="26265313"/>
    <w:rsid w:val="2629095F"/>
    <w:rsid w:val="262E41C8"/>
    <w:rsid w:val="263B6DE4"/>
    <w:rsid w:val="263F0183"/>
    <w:rsid w:val="26470960"/>
    <w:rsid w:val="264A7253"/>
    <w:rsid w:val="264D6D44"/>
    <w:rsid w:val="264F486A"/>
    <w:rsid w:val="265E2CFF"/>
    <w:rsid w:val="265F0B81"/>
    <w:rsid w:val="26606A77"/>
    <w:rsid w:val="26660F08"/>
    <w:rsid w:val="267373E0"/>
    <w:rsid w:val="2674441D"/>
    <w:rsid w:val="267C4F33"/>
    <w:rsid w:val="26840055"/>
    <w:rsid w:val="26887D7C"/>
    <w:rsid w:val="269E30FB"/>
    <w:rsid w:val="26A914C6"/>
    <w:rsid w:val="26B46EB0"/>
    <w:rsid w:val="26BA3DE6"/>
    <w:rsid w:val="26C736B2"/>
    <w:rsid w:val="26D33C77"/>
    <w:rsid w:val="26D7660D"/>
    <w:rsid w:val="26DD3AE6"/>
    <w:rsid w:val="26E31456"/>
    <w:rsid w:val="26E33204"/>
    <w:rsid w:val="26E371D5"/>
    <w:rsid w:val="26E8081A"/>
    <w:rsid w:val="26EF1BA9"/>
    <w:rsid w:val="26F71263"/>
    <w:rsid w:val="27035654"/>
    <w:rsid w:val="27076EF2"/>
    <w:rsid w:val="27180998"/>
    <w:rsid w:val="27196C26"/>
    <w:rsid w:val="271F686A"/>
    <w:rsid w:val="273712CF"/>
    <w:rsid w:val="27402404"/>
    <w:rsid w:val="27435A51"/>
    <w:rsid w:val="274F43F6"/>
    <w:rsid w:val="276A122F"/>
    <w:rsid w:val="27982240"/>
    <w:rsid w:val="279B3ADF"/>
    <w:rsid w:val="279F537D"/>
    <w:rsid w:val="27B32BD6"/>
    <w:rsid w:val="27D17500"/>
    <w:rsid w:val="27D8088F"/>
    <w:rsid w:val="27E014F2"/>
    <w:rsid w:val="27F54F9D"/>
    <w:rsid w:val="28090A48"/>
    <w:rsid w:val="280D0539"/>
    <w:rsid w:val="2816138E"/>
    <w:rsid w:val="281D398E"/>
    <w:rsid w:val="282544FE"/>
    <w:rsid w:val="284877C3"/>
    <w:rsid w:val="286E0106"/>
    <w:rsid w:val="28A40771"/>
    <w:rsid w:val="28B409B4"/>
    <w:rsid w:val="28BA7F95"/>
    <w:rsid w:val="28BC3D0D"/>
    <w:rsid w:val="28C82047"/>
    <w:rsid w:val="28CB21A2"/>
    <w:rsid w:val="28E55011"/>
    <w:rsid w:val="28E82D54"/>
    <w:rsid w:val="28F65471"/>
    <w:rsid w:val="28FB2A87"/>
    <w:rsid w:val="29030C50"/>
    <w:rsid w:val="2919115F"/>
    <w:rsid w:val="29257B04"/>
    <w:rsid w:val="29264CF8"/>
    <w:rsid w:val="292F44DF"/>
    <w:rsid w:val="293E67F4"/>
    <w:rsid w:val="29483CFC"/>
    <w:rsid w:val="294C32E2"/>
    <w:rsid w:val="295126A7"/>
    <w:rsid w:val="29565D6E"/>
    <w:rsid w:val="29567CBD"/>
    <w:rsid w:val="295E6B72"/>
    <w:rsid w:val="29606D8E"/>
    <w:rsid w:val="296248B4"/>
    <w:rsid w:val="2964687E"/>
    <w:rsid w:val="29702DE9"/>
    <w:rsid w:val="297445E7"/>
    <w:rsid w:val="297C3AC3"/>
    <w:rsid w:val="297E7214"/>
    <w:rsid w:val="2984482A"/>
    <w:rsid w:val="29883BEF"/>
    <w:rsid w:val="298C36DF"/>
    <w:rsid w:val="298E56A9"/>
    <w:rsid w:val="299B4A98"/>
    <w:rsid w:val="29A21154"/>
    <w:rsid w:val="29AB614E"/>
    <w:rsid w:val="29B570DA"/>
    <w:rsid w:val="29C235A5"/>
    <w:rsid w:val="29C54E43"/>
    <w:rsid w:val="29C93D50"/>
    <w:rsid w:val="29E96D83"/>
    <w:rsid w:val="2A005E7B"/>
    <w:rsid w:val="2A0873C7"/>
    <w:rsid w:val="2A111E36"/>
    <w:rsid w:val="2A1D315E"/>
    <w:rsid w:val="2A253D89"/>
    <w:rsid w:val="2A3B0766"/>
    <w:rsid w:val="2A465F84"/>
    <w:rsid w:val="2A4917DD"/>
    <w:rsid w:val="2A5063FA"/>
    <w:rsid w:val="2A5F6330"/>
    <w:rsid w:val="2A661523"/>
    <w:rsid w:val="2A73489F"/>
    <w:rsid w:val="2AA131BA"/>
    <w:rsid w:val="2ABC7FF4"/>
    <w:rsid w:val="2AC50B01"/>
    <w:rsid w:val="2AC66B4F"/>
    <w:rsid w:val="2ACF41CB"/>
    <w:rsid w:val="2AD90BA6"/>
    <w:rsid w:val="2AEA4B61"/>
    <w:rsid w:val="2B011EAB"/>
    <w:rsid w:val="2B073965"/>
    <w:rsid w:val="2B09790E"/>
    <w:rsid w:val="2B137A58"/>
    <w:rsid w:val="2B143849"/>
    <w:rsid w:val="2B231E21"/>
    <w:rsid w:val="2B334F0A"/>
    <w:rsid w:val="2B434271"/>
    <w:rsid w:val="2B44496A"/>
    <w:rsid w:val="2B4C581C"/>
    <w:rsid w:val="2B4E75AD"/>
    <w:rsid w:val="2B4F70BA"/>
    <w:rsid w:val="2B54022C"/>
    <w:rsid w:val="2B624713"/>
    <w:rsid w:val="2B797C93"/>
    <w:rsid w:val="2BAF1907"/>
    <w:rsid w:val="2BB60EE7"/>
    <w:rsid w:val="2BBE1B4A"/>
    <w:rsid w:val="2BBF5C96"/>
    <w:rsid w:val="2BC25ADE"/>
    <w:rsid w:val="2BC73A72"/>
    <w:rsid w:val="2BC929C8"/>
    <w:rsid w:val="2BCE4483"/>
    <w:rsid w:val="2BD15D21"/>
    <w:rsid w:val="2BE912BD"/>
    <w:rsid w:val="2BF043F9"/>
    <w:rsid w:val="2BF42A16"/>
    <w:rsid w:val="2BFF463C"/>
    <w:rsid w:val="2C043A01"/>
    <w:rsid w:val="2C1268DB"/>
    <w:rsid w:val="2C144A20"/>
    <w:rsid w:val="2C1F6A8C"/>
    <w:rsid w:val="2C46226B"/>
    <w:rsid w:val="2C4B7881"/>
    <w:rsid w:val="2C5F332D"/>
    <w:rsid w:val="2C6426F1"/>
    <w:rsid w:val="2C7768C8"/>
    <w:rsid w:val="2C7C1263"/>
    <w:rsid w:val="2C7C5C8D"/>
    <w:rsid w:val="2C8A4AF9"/>
    <w:rsid w:val="2C8F5C76"/>
    <w:rsid w:val="2C972AC7"/>
    <w:rsid w:val="2CA23219"/>
    <w:rsid w:val="2CA927FA"/>
    <w:rsid w:val="2CAB3A68"/>
    <w:rsid w:val="2CB90C8F"/>
    <w:rsid w:val="2CC13B14"/>
    <w:rsid w:val="2CC66F08"/>
    <w:rsid w:val="2CEA709A"/>
    <w:rsid w:val="2CEB2E12"/>
    <w:rsid w:val="2CED6B8B"/>
    <w:rsid w:val="2CF445D2"/>
    <w:rsid w:val="2CF565D5"/>
    <w:rsid w:val="2D0B601C"/>
    <w:rsid w:val="2D200D0E"/>
    <w:rsid w:val="2D734326"/>
    <w:rsid w:val="2D825525"/>
    <w:rsid w:val="2D833E1B"/>
    <w:rsid w:val="2D8C0151"/>
    <w:rsid w:val="2D945258"/>
    <w:rsid w:val="2D977696"/>
    <w:rsid w:val="2DC31699"/>
    <w:rsid w:val="2DC540FE"/>
    <w:rsid w:val="2DCC3BFB"/>
    <w:rsid w:val="2DD37B2E"/>
    <w:rsid w:val="2DD45655"/>
    <w:rsid w:val="2DE735DA"/>
    <w:rsid w:val="2DF603BF"/>
    <w:rsid w:val="2DFB0E33"/>
    <w:rsid w:val="2E2E745B"/>
    <w:rsid w:val="2E3600BD"/>
    <w:rsid w:val="2E476359"/>
    <w:rsid w:val="2E530C6F"/>
    <w:rsid w:val="2E5C179E"/>
    <w:rsid w:val="2E663B19"/>
    <w:rsid w:val="2E7B0EC8"/>
    <w:rsid w:val="2E865566"/>
    <w:rsid w:val="2EA9088F"/>
    <w:rsid w:val="2EAE5EA6"/>
    <w:rsid w:val="2EC136C4"/>
    <w:rsid w:val="2EC1468C"/>
    <w:rsid w:val="2EC456C9"/>
    <w:rsid w:val="2EE87609"/>
    <w:rsid w:val="2EE95130"/>
    <w:rsid w:val="2EE9734A"/>
    <w:rsid w:val="2EF37D5C"/>
    <w:rsid w:val="2F0D7070"/>
    <w:rsid w:val="2F1230AE"/>
    <w:rsid w:val="2F1D3097"/>
    <w:rsid w:val="2F1F0B51"/>
    <w:rsid w:val="2F263063"/>
    <w:rsid w:val="2F45680A"/>
    <w:rsid w:val="2F463C68"/>
    <w:rsid w:val="2F48454C"/>
    <w:rsid w:val="2F4B1ED6"/>
    <w:rsid w:val="2F544C9F"/>
    <w:rsid w:val="2F5C2087"/>
    <w:rsid w:val="2F666780"/>
    <w:rsid w:val="2F6B1FE9"/>
    <w:rsid w:val="2F6D1733"/>
    <w:rsid w:val="2F6D5D61"/>
    <w:rsid w:val="2F6F1AD9"/>
    <w:rsid w:val="2F754C15"/>
    <w:rsid w:val="2F756E38"/>
    <w:rsid w:val="2F8569EB"/>
    <w:rsid w:val="2F87458E"/>
    <w:rsid w:val="2F882B9B"/>
    <w:rsid w:val="2F8D1F5F"/>
    <w:rsid w:val="2FA15A0A"/>
    <w:rsid w:val="2FB219C5"/>
    <w:rsid w:val="2FC77D62"/>
    <w:rsid w:val="2FC82F97"/>
    <w:rsid w:val="2FCF2577"/>
    <w:rsid w:val="2FF67B04"/>
    <w:rsid w:val="2FFB0AD4"/>
    <w:rsid w:val="302A7F56"/>
    <w:rsid w:val="30316D8E"/>
    <w:rsid w:val="30377647"/>
    <w:rsid w:val="30590093"/>
    <w:rsid w:val="30722B71"/>
    <w:rsid w:val="307849BD"/>
    <w:rsid w:val="30901D07"/>
    <w:rsid w:val="30A12166"/>
    <w:rsid w:val="30A13F14"/>
    <w:rsid w:val="30B654E5"/>
    <w:rsid w:val="30B73737"/>
    <w:rsid w:val="30B8125D"/>
    <w:rsid w:val="30BB2AFC"/>
    <w:rsid w:val="30BE0755"/>
    <w:rsid w:val="30D065A7"/>
    <w:rsid w:val="30DA5678"/>
    <w:rsid w:val="30E31ACF"/>
    <w:rsid w:val="30E74759"/>
    <w:rsid w:val="30E95E60"/>
    <w:rsid w:val="30EE2ED1"/>
    <w:rsid w:val="30FA3624"/>
    <w:rsid w:val="30FF0C3A"/>
    <w:rsid w:val="3103697D"/>
    <w:rsid w:val="31085D41"/>
    <w:rsid w:val="310D3357"/>
    <w:rsid w:val="310E0E7D"/>
    <w:rsid w:val="31104BF6"/>
    <w:rsid w:val="31376626"/>
    <w:rsid w:val="313A63D7"/>
    <w:rsid w:val="313E5C07"/>
    <w:rsid w:val="31480833"/>
    <w:rsid w:val="315947EF"/>
    <w:rsid w:val="315A40C3"/>
    <w:rsid w:val="316118F5"/>
    <w:rsid w:val="31666F0B"/>
    <w:rsid w:val="3168639F"/>
    <w:rsid w:val="318555E4"/>
    <w:rsid w:val="31890979"/>
    <w:rsid w:val="318E3CB7"/>
    <w:rsid w:val="319C5B20"/>
    <w:rsid w:val="31B7224A"/>
    <w:rsid w:val="31B92820"/>
    <w:rsid w:val="31BB7257"/>
    <w:rsid w:val="31CD10CD"/>
    <w:rsid w:val="31D9148B"/>
    <w:rsid w:val="31DD71CE"/>
    <w:rsid w:val="31F167D5"/>
    <w:rsid w:val="31F35DD7"/>
    <w:rsid w:val="31F369F1"/>
    <w:rsid w:val="31FD7870"/>
    <w:rsid w:val="32052280"/>
    <w:rsid w:val="32076142"/>
    <w:rsid w:val="320F233C"/>
    <w:rsid w:val="32171FB4"/>
    <w:rsid w:val="322222E5"/>
    <w:rsid w:val="322D17D7"/>
    <w:rsid w:val="326276D3"/>
    <w:rsid w:val="32696CB3"/>
    <w:rsid w:val="32760E03"/>
    <w:rsid w:val="3281224F"/>
    <w:rsid w:val="329F34D1"/>
    <w:rsid w:val="32AE3136"/>
    <w:rsid w:val="32B06690"/>
    <w:rsid w:val="32B12408"/>
    <w:rsid w:val="32BF68D3"/>
    <w:rsid w:val="32C13D0C"/>
    <w:rsid w:val="32CC2D9E"/>
    <w:rsid w:val="32CE6B16"/>
    <w:rsid w:val="32DD31FD"/>
    <w:rsid w:val="32F12805"/>
    <w:rsid w:val="32F72511"/>
    <w:rsid w:val="32F742BF"/>
    <w:rsid w:val="32FC175E"/>
    <w:rsid w:val="33010C9A"/>
    <w:rsid w:val="330E1609"/>
    <w:rsid w:val="33123327"/>
    <w:rsid w:val="33226E62"/>
    <w:rsid w:val="33240E2C"/>
    <w:rsid w:val="33242BDA"/>
    <w:rsid w:val="333D3C9C"/>
    <w:rsid w:val="33541711"/>
    <w:rsid w:val="33581BE7"/>
    <w:rsid w:val="335C2374"/>
    <w:rsid w:val="33721B98"/>
    <w:rsid w:val="33811DDB"/>
    <w:rsid w:val="33896EE1"/>
    <w:rsid w:val="3390201E"/>
    <w:rsid w:val="33995376"/>
    <w:rsid w:val="33BF2903"/>
    <w:rsid w:val="33C10429"/>
    <w:rsid w:val="33D30B5A"/>
    <w:rsid w:val="33DC34B5"/>
    <w:rsid w:val="33E02FA5"/>
    <w:rsid w:val="33F23A9A"/>
    <w:rsid w:val="340F73E6"/>
    <w:rsid w:val="34115CC9"/>
    <w:rsid w:val="34180991"/>
    <w:rsid w:val="341E7629"/>
    <w:rsid w:val="34313801"/>
    <w:rsid w:val="344352E2"/>
    <w:rsid w:val="3447066C"/>
    <w:rsid w:val="345E036E"/>
    <w:rsid w:val="346A6D13"/>
    <w:rsid w:val="34897199"/>
    <w:rsid w:val="349A75F8"/>
    <w:rsid w:val="34A20388"/>
    <w:rsid w:val="34A843EE"/>
    <w:rsid w:val="34A917D2"/>
    <w:rsid w:val="34AF2977"/>
    <w:rsid w:val="34D332FE"/>
    <w:rsid w:val="34D36666"/>
    <w:rsid w:val="34DA510C"/>
    <w:rsid w:val="34DE1A50"/>
    <w:rsid w:val="34E00D83"/>
    <w:rsid w:val="34E6186B"/>
    <w:rsid w:val="34EA17C0"/>
    <w:rsid w:val="34FA4032"/>
    <w:rsid w:val="34FD36E3"/>
    <w:rsid w:val="351C000D"/>
    <w:rsid w:val="351C2F84"/>
    <w:rsid w:val="352F384C"/>
    <w:rsid w:val="35300FAC"/>
    <w:rsid w:val="35327452"/>
    <w:rsid w:val="3535216B"/>
    <w:rsid w:val="3536280B"/>
    <w:rsid w:val="353C06AF"/>
    <w:rsid w:val="35480AC5"/>
    <w:rsid w:val="35492355"/>
    <w:rsid w:val="35645510"/>
    <w:rsid w:val="35660394"/>
    <w:rsid w:val="356933EA"/>
    <w:rsid w:val="356E638F"/>
    <w:rsid w:val="357A2F85"/>
    <w:rsid w:val="35847960"/>
    <w:rsid w:val="35855994"/>
    <w:rsid w:val="35884863"/>
    <w:rsid w:val="35AF70D3"/>
    <w:rsid w:val="35B446E9"/>
    <w:rsid w:val="35C3492C"/>
    <w:rsid w:val="35DB084C"/>
    <w:rsid w:val="35FA7C22"/>
    <w:rsid w:val="36015455"/>
    <w:rsid w:val="36057CF5"/>
    <w:rsid w:val="36062A6B"/>
    <w:rsid w:val="360867E3"/>
    <w:rsid w:val="360A18E3"/>
    <w:rsid w:val="361C6CB6"/>
    <w:rsid w:val="36200EEB"/>
    <w:rsid w:val="36284AFF"/>
    <w:rsid w:val="363E2205"/>
    <w:rsid w:val="364C4922"/>
    <w:rsid w:val="364E4EE9"/>
    <w:rsid w:val="36545584"/>
    <w:rsid w:val="365B4B65"/>
    <w:rsid w:val="365C268B"/>
    <w:rsid w:val="36631C6B"/>
    <w:rsid w:val="366559E4"/>
    <w:rsid w:val="36703BB7"/>
    <w:rsid w:val="367774C5"/>
    <w:rsid w:val="368340BC"/>
    <w:rsid w:val="36883480"/>
    <w:rsid w:val="369E0EF6"/>
    <w:rsid w:val="36AD054A"/>
    <w:rsid w:val="36B35E10"/>
    <w:rsid w:val="36B6623F"/>
    <w:rsid w:val="36B9188B"/>
    <w:rsid w:val="36B97ADD"/>
    <w:rsid w:val="36BB1AA7"/>
    <w:rsid w:val="36CE3589"/>
    <w:rsid w:val="36E7289C"/>
    <w:rsid w:val="36EB413B"/>
    <w:rsid w:val="36FB701C"/>
    <w:rsid w:val="36FF3742"/>
    <w:rsid w:val="37070373"/>
    <w:rsid w:val="370757A2"/>
    <w:rsid w:val="371B0D30"/>
    <w:rsid w:val="371F3DE4"/>
    <w:rsid w:val="37225683"/>
    <w:rsid w:val="373D426B"/>
    <w:rsid w:val="37490E61"/>
    <w:rsid w:val="374C0952"/>
    <w:rsid w:val="374C526C"/>
    <w:rsid w:val="37500442"/>
    <w:rsid w:val="376452A5"/>
    <w:rsid w:val="37697CBB"/>
    <w:rsid w:val="37826121"/>
    <w:rsid w:val="378C4F44"/>
    <w:rsid w:val="378D6B0A"/>
    <w:rsid w:val="3793032E"/>
    <w:rsid w:val="37983B97"/>
    <w:rsid w:val="379876F3"/>
    <w:rsid w:val="37A442EA"/>
    <w:rsid w:val="37A8202C"/>
    <w:rsid w:val="37B5743F"/>
    <w:rsid w:val="37B7226F"/>
    <w:rsid w:val="37B87D95"/>
    <w:rsid w:val="37C8622A"/>
    <w:rsid w:val="37D050DF"/>
    <w:rsid w:val="37D6480E"/>
    <w:rsid w:val="37E666B0"/>
    <w:rsid w:val="37EB016A"/>
    <w:rsid w:val="37EE37B7"/>
    <w:rsid w:val="37F51C38"/>
    <w:rsid w:val="380D6333"/>
    <w:rsid w:val="380F3E59"/>
    <w:rsid w:val="381C47C8"/>
    <w:rsid w:val="38213B8C"/>
    <w:rsid w:val="382673F4"/>
    <w:rsid w:val="382B67B9"/>
    <w:rsid w:val="382F08A1"/>
    <w:rsid w:val="38381B2E"/>
    <w:rsid w:val="384977AD"/>
    <w:rsid w:val="384B0C09"/>
    <w:rsid w:val="385E26EA"/>
    <w:rsid w:val="386C12AB"/>
    <w:rsid w:val="386F66A6"/>
    <w:rsid w:val="387B329C"/>
    <w:rsid w:val="388A34DF"/>
    <w:rsid w:val="38991974"/>
    <w:rsid w:val="38A00F55"/>
    <w:rsid w:val="38A50319"/>
    <w:rsid w:val="38A719E7"/>
    <w:rsid w:val="38A85873"/>
    <w:rsid w:val="38AA1DD4"/>
    <w:rsid w:val="38AD5420"/>
    <w:rsid w:val="38B16CBE"/>
    <w:rsid w:val="38D330D8"/>
    <w:rsid w:val="38DD3F57"/>
    <w:rsid w:val="38E80300"/>
    <w:rsid w:val="38F117B0"/>
    <w:rsid w:val="38F80D91"/>
    <w:rsid w:val="390333F5"/>
    <w:rsid w:val="39046885"/>
    <w:rsid w:val="3914549F"/>
    <w:rsid w:val="39317DFF"/>
    <w:rsid w:val="39363667"/>
    <w:rsid w:val="393D0552"/>
    <w:rsid w:val="395A55A8"/>
    <w:rsid w:val="395C3C49"/>
    <w:rsid w:val="395F6FBC"/>
    <w:rsid w:val="396106E4"/>
    <w:rsid w:val="3962445C"/>
    <w:rsid w:val="39671A73"/>
    <w:rsid w:val="39693D47"/>
    <w:rsid w:val="39704076"/>
    <w:rsid w:val="3978678E"/>
    <w:rsid w:val="39873EC3"/>
    <w:rsid w:val="39987E7E"/>
    <w:rsid w:val="399F120C"/>
    <w:rsid w:val="39AB195F"/>
    <w:rsid w:val="39B50A30"/>
    <w:rsid w:val="39B5458C"/>
    <w:rsid w:val="39C04DF5"/>
    <w:rsid w:val="39C80763"/>
    <w:rsid w:val="39CB0253"/>
    <w:rsid w:val="39D8471E"/>
    <w:rsid w:val="39E41315"/>
    <w:rsid w:val="39E52F7A"/>
    <w:rsid w:val="39F350B4"/>
    <w:rsid w:val="3A013C75"/>
    <w:rsid w:val="3A046550"/>
    <w:rsid w:val="3A173B31"/>
    <w:rsid w:val="3A1F5EA9"/>
    <w:rsid w:val="3A377697"/>
    <w:rsid w:val="3A3C0384"/>
    <w:rsid w:val="3A4B228D"/>
    <w:rsid w:val="3A5B15D7"/>
    <w:rsid w:val="3A606BEE"/>
    <w:rsid w:val="3A666016"/>
    <w:rsid w:val="3A7D01A4"/>
    <w:rsid w:val="3A824DB6"/>
    <w:rsid w:val="3A8C02DD"/>
    <w:rsid w:val="3A8F302F"/>
    <w:rsid w:val="3ABC194A"/>
    <w:rsid w:val="3AE80991"/>
    <w:rsid w:val="3AF31088"/>
    <w:rsid w:val="3AF46352"/>
    <w:rsid w:val="3AF86E26"/>
    <w:rsid w:val="3B057795"/>
    <w:rsid w:val="3B070E17"/>
    <w:rsid w:val="3B0C28D2"/>
    <w:rsid w:val="3B0C6DB5"/>
    <w:rsid w:val="3B387FDF"/>
    <w:rsid w:val="3B4C7172"/>
    <w:rsid w:val="3B582182"/>
    <w:rsid w:val="3B732951"/>
    <w:rsid w:val="3B984165"/>
    <w:rsid w:val="3BAF1030"/>
    <w:rsid w:val="3BB54D17"/>
    <w:rsid w:val="3BBD1E1E"/>
    <w:rsid w:val="3BE70C49"/>
    <w:rsid w:val="3C0A504D"/>
    <w:rsid w:val="3C12216A"/>
    <w:rsid w:val="3C202EE7"/>
    <w:rsid w:val="3C3C71E7"/>
    <w:rsid w:val="3C434D34"/>
    <w:rsid w:val="3C44609B"/>
    <w:rsid w:val="3C575D79"/>
    <w:rsid w:val="3C5B7DA1"/>
    <w:rsid w:val="3C706E90"/>
    <w:rsid w:val="3C74072E"/>
    <w:rsid w:val="3C7A386B"/>
    <w:rsid w:val="3C850B8E"/>
    <w:rsid w:val="3C853546"/>
    <w:rsid w:val="3C9E57AB"/>
    <w:rsid w:val="3CA27154"/>
    <w:rsid w:val="3CAB143F"/>
    <w:rsid w:val="3CB52AF5"/>
    <w:rsid w:val="3CB7686D"/>
    <w:rsid w:val="3CC1149A"/>
    <w:rsid w:val="3CCA08FA"/>
    <w:rsid w:val="3CE138EA"/>
    <w:rsid w:val="3CF4259A"/>
    <w:rsid w:val="3CF60458"/>
    <w:rsid w:val="3D001AC2"/>
    <w:rsid w:val="3D0A4BEF"/>
    <w:rsid w:val="3D0C0967"/>
    <w:rsid w:val="3D257C7B"/>
    <w:rsid w:val="3D281519"/>
    <w:rsid w:val="3D324146"/>
    <w:rsid w:val="3D3954D4"/>
    <w:rsid w:val="3D580845"/>
    <w:rsid w:val="3D5D11C3"/>
    <w:rsid w:val="3D6307DC"/>
    <w:rsid w:val="3D632551"/>
    <w:rsid w:val="3D65451B"/>
    <w:rsid w:val="3D736C38"/>
    <w:rsid w:val="3D74475E"/>
    <w:rsid w:val="3D7D4325"/>
    <w:rsid w:val="3D8C1AA8"/>
    <w:rsid w:val="3D956BAE"/>
    <w:rsid w:val="3DA43295"/>
    <w:rsid w:val="3DAA23A3"/>
    <w:rsid w:val="3DAE5D24"/>
    <w:rsid w:val="3DC117AA"/>
    <w:rsid w:val="3DCE3E6E"/>
    <w:rsid w:val="3DD07BE6"/>
    <w:rsid w:val="3DDA2813"/>
    <w:rsid w:val="3DE44345"/>
    <w:rsid w:val="3DEC0798"/>
    <w:rsid w:val="3DF20044"/>
    <w:rsid w:val="3DFF04CC"/>
    <w:rsid w:val="3E0E35C3"/>
    <w:rsid w:val="3E133F77"/>
    <w:rsid w:val="3E1B7719"/>
    <w:rsid w:val="3E2D328B"/>
    <w:rsid w:val="3E3D2DA2"/>
    <w:rsid w:val="3E612F34"/>
    <w:rsid w:val="3E686071"/>
    <w:rsid w:val="3E6F5651"/>
    <w:rsid w:val="3E7224BF"/>
    <w:rsid w:val="3E80785E"/>
    <w:rsid w:val="3E921340"/>
    <w:rsid w:val="3E994348"/>
    <w:rsid w:val="3EA177D5"/>
    <w:rsid w:val="3EAB1E08"/>
    <w:rsid w:val="3EBA7779"/>
    <w:rsid w:val="3EBC460F"/>
    <w:rsid w:val="3ED6180F"/>
    <w:rsid w:val="3EED1B1E"/>
    <w:rsid w:val="3EF23B8C"/>
    <w:rsid w:val="3F0538C0"/>
    <w:rsid w:val="3F0A7C77"/>
    <w:rsid w:val="3F1717B3"/>
    <w:rsid w:val="3F2226C4"/>
    <w:rsid w:val="3F2A77CA"/>
    <w:rsid w:val="3F3C12AC"/>
    <w:rsid w:val="3F43088C"/>
    <w:rsid w:val="3F47037C"/>
    <w:rsid w:val="3F473ED8"/>
    <w:rsid w:val="3F487C50"/>
    <w:rsid w:val="3F514D57"/>
    <w:rsid w:val="3F566811"/>
    <w:rsid w:val="3F5860E5"/>
    <w:rsid w:val="3F5C5D42"/>
    <w:rsid w:val="3F60143E"/>
    <w:rsid w:val="3F6F342F"/>
    <w:rsid w:val="3F7E3672"/>
    <w:rsid w:val="3F7F7B16"/>
    <w:rsid w:val="3F84512C"/>
    <w:rsid w:val="3F88629F"/>
    <w:rsid w:val="3F8B194E"/>
    <w:rsid w:val="3F9A2797"/>
    <w:rsid w:val="3FA532F5"/>
    <w:rsid w:val="3FAF1A7E"/>
    <w:rsid w:val="3FC01EDD"/>
    <w:rsid w:val="3FC574F3"/>
    <w:rsid w:val="3FD15E98"/>
    <w:rsid w:val="3FDD65EB"/>
    <w:rsid w:val="3FDF05B5"/>
    <w:rsid w:val="3FE55BE1"/>
    <w:rsid w:val="3FEA0D08"/>
    <w:rsid w:val="3FED72D4"/>
    <w:rsid w:val="3FFF2A05"/>
    <w:rsid w:val="400973E0"/>
    <w:rsid w:val="400C6ED0"/>
    <w:rsid w:val="401364B0"/>
    <w:rsid w:val="40195CBF"/>
    <w:rsid w:val="40271F5C"/>
    <w:rsid w:val="40291830"/>
    <w:rsid w:val="402E2B19"/>
    <w:rsid w:val="40310823"/>
    <w:rsid w:val="40420B44"/>
    <w:rsid w:val="404448BC"/>
    <w:rsid w:val="40555CB0"/>
    <w:rsid w:val="40586C90"/>
    <w:rsid w:val="40624D42"/>
    <w:rsid w:val="40632F94"/>
    <w:rsid w:val="406377FC"/>
    <w:rsid w:val="406960D0"/>
    <w:rsid w:val="407451A1"/>
    <w:rsid w:val="407A34DA"/>
    <w:rsid w:val="4081166C"/>
    <w:rsid w:val="40907B01"/>
    <w:rsid w:val="409F1AF2"/>
    <w:rsid w:val="40AB49B3"/>
    <w:rsid w:val="40AF442B"/>
    <w:rsid w:val="40BC0EDB"/>
    <w:rsid w:val="40BC4452"/>
    <w:rsid w:val="40C220A7"/>
    <w:rsid w:val="40D043A1"/>
    <w:rsid w:val="40D519B8"/>
    <w:rsid w:val="40D774DE"/>
    <w:rsid w:val="40E35E83"/>
    <w:rsid w:val="40FE4A6B"/>
    <w:rsid w:val="4105229D"/>
    <w:rsid w:val="410A5628"/>
    <w:rsid w:val="41250249"/>
    <w:rsid w:val="412650CC"/>
    <w:rsid w:val="413606A8"/>
    <w:rsid w:val="413B1FBD"/>
    <w:rsid w:val="41605725"/>
    <w:rsid w:val="41766CF7"/>
    <w:rsid w:val="4185309F"/>
    <w:rsid w:val="41872CB2"/>
    <w:rsid w:val="418A4550"/>
    <w:rsid w:val="41967399"/>
    <w:rsid w:val="419B675D"/>
    <w:rsid w:val="41A4169D"/>
    <w:rsid w:val="41AE6491"/>
    <w:rsid w:val="41AF045B"/>
    <w:rsid w:val="41BB7016"/>
    <w:rsid w:val="41D2690F"/>
    <w:rsid w:val="41D27590"/>
    <w:rsid w:val="41D57EC1"/>
    <w:rsid w:val="41DB1250"/>
    <w:rsid w:val="41F8595E"/>
    <w:rsid w:val="420A5691"/>
    <w:rsid w:val="42187DAE"/>
    <w:rsid w:val="42204EB5"/>
    <w:rsid w:val="42224789"/>
    <w:rsid w:val="42291FBB"/>
    <w:rsid w:val="42295B17"/>
    <w:rsid w:val="422E312E"/>
    <w:rsid w:val="423821FE"/>
    <w:rsid w:val="42383FB6"/>
    <w:rsid w:val="423D5A66"/>
    <w:rsid w:val="423F17DF"/>
    <w:rsid w:val="424741EF"/>
    <w:rsid w:val="42552DB0"/>
    <w:rsid w:val="426A2B75"/>
    <w:rsid w:val="427076E6"/>
    <w:rsid w:val="428044C2"/>
    <w:rsid w:val="42813E6A"/>
    <w:rsid w:val="42845443"/>
    <w:rsid w:val="42884F34"/>
    <w:rsid w:val="428D254A"/>
    <w:rsid w:val="429C09DF"/>
    <w:rsid w:val="42A87384"/>
    <w:rsid w:val="42AE0712"/>
    <w:rsid w:val="42B06238"/>
    <w:rsid w:val="42B86E9B"/>
    <w:rsid w:val="42E12896"/>
    <w:rsid w:val="42E47C90"/>
    <w:rsid w:val="42E776BB"/>
    <w:rsid w:val="42EA174A"/>
    <w:rsid w:val="42FB3958"/>
    <w:rsid w:val="430622FC"/>
    <w:rsid w:val="431467C7"/>
    <w:rsid w:val="43244531"/>
    <w:rsid w:val="432D5ADB"/>
    <w:rsid w:val="435E5C94"/>
    <w:rsid w:val="437F78B9"/>
    <w:rsid w:val="4387343D"/>
    <w:rsid w:val="438A2516"/>
    <w:rsid w:val="438D26B4"/>
    <w:rsid w:val="438F22F2"/>
    <w:rsid w:val="43957F31"/>
    <w:rsid w:val="43A0005B"/>
    <w:rsid w:val="43C95804"/>
    <w:rsid w:val="43DA3373"/>
    <w:rsid w:val="43DC34E1"/>
    <w:rsid w:val="43FE4D82"/>
    <w:rsid w:val="44071E88"/>
    <w:rsid w:val="440C56F0"/>
    <w:rsid w:val="441D16AC"/>
    <w:rsid w:val="442F1A54"/>
    <w:rsid w:val="44393E04"/>
    <w:rsid w:val="444F55DD"/>
    <w:rsid w:val="44507CD3"/>
    <w:rsid w:val="445930EE"/>
    <w:rsid w:val="445A39AF"/>
    <w:rsid w:val="445D7CFA"/>
    <w:rsid w:val="44705C7F"/>
    <w:rsid w:val="44777FC1"/>
    <w:rsid w:val="44890AEF"/>
    <w:rsid w:val="449328CD"/>
    <w:rsid w:val="44AE681A"/>
    <w:rsid w:val="44B10046"/>
    <w:rsid w:val="44D206E8"/>
    <w:rsid w:val="44D4670C"/>
    <w:rsid w:val="44DA46CB"/>
    <w:rsid w:val="44E64193"/>
    <w:rsid w:val="44EC107E"/>
    <w:rsid w:val="44F544E1"/>
    <w:rsid w:val="44FC5765"/>
    <w:rsid w:val="45010FCD"/>
    <w:rsid w:val="45034D45"/>
    <w:rsid w:val="451F76A5"/>
    <w:rsid w:val="452151CC"/>
    <w:rsid w:val="45433E53"/>
    <w:rsid w:val="45551365"/>
    <w:rsid w:val="455E3D2A"/>
    <w:rsid w:val="45634846"/>
    <w:rsid w:val="457479F1"/>
    <w:rsid w:val="45765517"/>
    <w:rsid w:val="458B0897"/>
    <w:rsid w:val="458D0AB3"/>
    <w:rsid w:val="45AC24BE"/>
    <w:rsid w:val="45BC140A"/>
    <w:rsid w:val="45BC5040"/>
    <w:rsid w:val="45C06792"/>
    <w:rsid w:val="45C8467F"/>
    <w:rsid w:val="45CF2E79"/>
    <w:rsid w:val="45D91A77"/>
    <w:rsid w:val="45E50871"/>
    <w:rsid w:val="45EC7588"/>
    <w:rsid w:val="46010C66"/>
    <w:rsid w:val="46036F72"/>
    <w:rsid w:val="4607616F"/>
    <w:rsid w:val="462600D5"/>
    <w:rsid w:val="46284338"/>
    <w:rsid w:val="462D194E"/>
    <w:rsid w:val="46357180"/>
    <w:rsid w:val="464B6395"/>
    <w:rsid w:val="465313B5"/>
    <w:rsid w:val="465F5FAB"/>
    <w:rsid w:val="4665558C"/>
    <w:rsid w:val="46703488"/>
    <w:rsid w:val="46853538"/>
    <w:rsid w:val="46B53E1D"/>
    <w:rsid w:val="46C81412"/>
    <w:rsid w:val="46D22C21"/>
    <w:rsid w:val="46DA3884"/>
    <w:rsid w:val="46E22739"/>
    <w:rsid w:val="46E27759"/>
    <w:rsid w:val="46F506BE"/>
    <w:rsid w:val="46F72688"/>
    <w:rsid w:val="46FF153C"/>
    <w:rsid w:val="47024B89"/>
    <w:rsid w:val="47242D51"/>
    <w:rsid w:val="472A518D"/>
    <w:rsid w:val="47586C26"/>
    <w:rsid w:val="47621D4A"/>
    <w:rsid w:val="4765510B"/>
    <w:rsid w:val="477E06B3"/>
    <w:rsid w:val="477F5302"/>
    <w:rsid w:val="478832E0"/>
    <w:rsid w:val="478B1022"/>
    <w:rsid w:val="47961EA1"/>
    <w:rsid w:val="47AD71EA"/>
    <w:rsid w:val="47B75973"/>
    <w:rsid w:val="47B916EB"/>
    <w:rsid w:val="47C83D95"/>
    <w:rsid w:val="47D66741"/>
    <w:rsid w:val="47EC1AC1"/>
    <w:rsid w:val="47FB61A8"/>
    <w:rsid w:val="47FD2EDF"/>
    <w:rsid w:val="47FF2F78"/>
    <w:rsid w:val="4800621F"/>
    <w:rsid w:val="48117779"/>
    <w:rsid w:val="48164D90"/>
    <w:rsid w:val="48174664"/>
    <w:rsid w:val="482F5E51"/>
    <w:rsid w:val="483F3148"/>
    <w:rsid w:val="48486B1C"/>
    <w:rsid w:val="485633DE"/>
    <w:rsid w:val="48653621"/>
    <w:rsid w:val="48790E7B"/>
    <w:rsid w:val="48853CC3"/>
    <w:rsid w:val="48A91B7B"/>
    <w:rsid w:val="48AC00E5"/>
    <w:rsid w:val="48AE0CFD"/>
    <w:rsid w:val="48B819A3"/>
    <w:rsid w:val="48C60CA6"/>
    <w:rsid w:val="48D66DE4"/>
    <w:rsid w:val="48E44E8E"/>
    <w:rsid w:val="48F350D1"/>
    <w:rsid w:val="48F74BC1"/>
    <w:rsid w:val="48FF50DD"/>
    <w:rsid w:val="490177EE"/>
    <w:rsid w:val="49177011"/>
    <w:rsid w:val="4929464F"/>
    <w:rsid w:val="493059DD"/>
    <w:rsid w:val="494D2A33"/>
    <w:rsid w:val="49507E2D"/>
    <w:rsid w:val="49544761"/>
    <w:rsid w:val="4957740E"/>
    <w:rsid w:val="495C67D2"/>
    <w:rsid w:val="49647D7D"/>
    <w:rsid w:val="497D6F41"/>
    <w:rsid w:val="49A0346C"/>
    <w:rsid w:val="49AA1C33"/>
    <w:rsid w:val="49B20AE8"/>
    <w:rsid w:val="49B27967"/>
    <w:rsid w:val="49B303BC"/>
    <w:rsid w:val="49C20652"/>
    <w:rsid w:val="49CC7DFC"/>
    <w:rsid w:val="49D50F8D"/>
    <w:rsid w:val="49D62A28"/>
    <w:rsid w:val="4A0A26D2"/>
    <w:rsid w:val="4A1420C3"/>
    <w:rsid w:val="4A266DE0"/>
    <w:rsid w:val="4A3414FD"/>
    <w:rsid w:val="4A5676C5"/>
    <w:rsid w:val="4A6242BC"/>
    <w:rsid w:val="4A7718FD"/>
    <w:rsid w:val="4A7933B4"/>
    <w:rsid w:val="4A7B5341"/>
    <w:rsid w:val="4A7D4C52"/>
    <w:rsid w:val="4A874CDE"/>
    <w:rsid w:val="4A8E6E5F"/>
    <w:rsid w:val="4A924691"/>
    <w:rsid w:val="4A995804"/>
    <w:rsid w:val="4AA66DFD"/>
    <w:rsid w:val="4AAA17BF"/>
    <w:rsid w:val="4AB35B63"/>
    <w:rsid w:val="4AB83EDC"/>
    <w:rsid w:val="4AC565F9"/>
    <w:rsid w:val="4AE90539"/>
    <w:rsid w:val="4AED6BE2"/>
    <w:rsid w:val="4AEF3676"/>
    <w:rsid w:val="4AF13892"/>
    <w:rsid w:val="4B0435C5"/>
    <w:rsid w:val="4B0E1D4E"/>
    <w:rsid w:val="4B1F3F5B"/>
    <w:rsid w:val="4B386DCB"/>
    <w:rsid w:val="4B3B68BB"/>
    <w:rsid w:val="4B3D4856"/>
    <w:rsid w:val="4B4E65EF"/>
    <w:rsid w:val="4B555BCF"/>
    <w:rsid w:val="4B6127C6"/>
    <w:rsid w:val="4B6202EC"/>
    <w:rsid w:val="4B7B04B8"/>
    <w:rsid w:val="4B7C315C"/>
    <w:rsid w:val="4B840262"/>
    <w:rsid w:val="4BAE7058"/>
    <w:rsid w:val="4BB02E05"/>
    <w:rsid w:val="4BB368C6"/>
    <w:rsid w:val="4BBE3774"/>
    <w:rsid w:val="4BC0573E"/>
    <w:rsid w:val="4BC6087B"/>
    <w:rsid w:val="4BD35153"/>
    <w:rsid w:val="4BF47196"/>
    <w:rsid w:val="4BFB49C8"/>
    <w:rsid w:val="4BFC24EE"/>
    <w:rsid w:val="4BFC429C"/>
    <w:rsid w:val="4C0C120C"/>
    <w:rsid w:val="4C177328"/>
    <w:rsid w:val="4C1A4723"/>
    <w:rsid w:val="4C2241E3"/>
    <w:rsid w:val="4C3A6B73"/>
    <w:rsid w:val="4C3E48B5"/>
    <w:rsid w:val="4C510D1C"/>
    <w:rsid w:val="4C52210E"/>
    <w:rsid w:val="4C5744FA"/>
    <w:rsid w:val="4C5E1542"/>
    <w:rsid w:val="4C6205A3"/>
    <w:rsid w:val="4C6759CB"/>
    <w:rsid w:val="4C6C50A2"/>
    <w:rsid w:val="4C76404F"/>
    <w:rsid w:val="4C84594E"/>
    <w:rsid w:val="4C87625C"/>
    <w:rsid w:val="4C8A7AFA"/>
    <w:rsid w:val="4C904973"/>
    <w:rsid w:val="4C9E5354"/>
    <w:rsid w:val="4CA23096"/>
    <w:rsid w:val="4CAD5597"/>
    <w:rsid w:val="4CBD46A4"/>
    <w:rsid w:val="4CC94F3B"/>
    <w:rsid w:val="4CCA6149"/>
    <w:rsid w:val="4CDB30E2"/>
    <w:rsid w:val="4CDF7E46"/>
    <w:rsid w:val="4CE674D8"/>
    <w:rsid w:val="4D057181"/>
    <w:rsid w:val="4D0B0C3B"/>
    <w:rsid w:val="4D19055F"/>
    <w:rsid w:val="4D193597"/>
    <w:rsid w:val="4D2E5D95"/>
    <w:rsid w:val="4D5A571F"/>
    <w:rsid w:val="4D5D520F"/>
    <w:rsid w:val="4D5F0F87"/>
    <w:rsid w:val="4D623DA0"/>
    <w:rsid w:val="4D764E46"/>
    <w:rsid w:val="4D88228C"/>
    <w:rsid w:val="4D9D79DA"/>
    <w:rsid w:val="4D9F75D5"/>
    <w:rsid w:val="4DA34C1B"/>
    <w:rsid w:val="4DB50BA7"/>
    <w:rsid w:val="4DBA7F6B"/>
    <w:rsid w:val="4DCB2178"/>
    <w:rsid w:val="4DDC6134"/>
    <w:rsid w:val="4DF30E2D"/>
    <w:rsid w:val="4E151645"/>
    <w:rsid w:val="4E1753BE"/>
    <w:rsid w:val="4E201ADC"/>
    <w:rsid w:val="4E3715BC"/>
    <w:rsid w:val="4E8D742E"/>
    <w:rsid w:val="4E9609D8"/>
    <w:rsid w:val="4E9756D6"/>
    <w:rsid w:val="4E9B7D9D"/>
    <w:rsid w:val="4E9C58C3"/>
    <w:rsid w:val="4EA053B3"/>
    <w:rsid w:val="4EA74993"/>
    <w:rsid w:val="4EA76741"/>
    <w:rsid w:val="4EA8070C"/>
    <w:rsid w:val="4EB70C58"/>
    <w:rsid w:val="4EBE1CDD"/>
    <w:rsid w:val="4EC65B38"/>
    <w:rsid w:val="4EE07EA5"/>
    <w:rsid w:val="4F0973FC"/>
    <w:rsid w:val="4F1A33B7"/>
    <w:rsid w:val="4F245FE4"/>
    <w:rsid w:val="4F262900"/>
    <w:rsid w:val="4F2F700B"/>
    <w:rsid w:val="4F3A75B6"/>
    <w:rsid w:val="4F45577A"/>
    <w:rsid w:val="4F477F24"/>
    <w:rsid w:val="4F6939F7"/>
    <w:rsid w:val="4F697E9B"/>
    <w:rsid w:val="4F764366"/>
    <w:rsid w:val="4F786330"/>
    <w:rsid w:val="4F952A3E"/>
    <w:rsid w:val="4F981257"/>
    <w:rsid w:val="4F9842DC"/>
    <w:rsid w:val="4FAE3B00"/>
    <w:rsid w:val="4FBF5D0D"/>
    <w:rsid w:val="4FD25A40"/>
    <w:rsid w:val="4FD44A54"/>
    <w:rsid w:val="4FF84D7B"/>
    <w:rsid w:val="501778F7"/>
    <w:rsid w:val="503C55AF"/>
    <w:rsid w:val="50527605"/>
    <w:rsid w:val="50724B2D"/>
    <w:rsid w:val="5074270E"/>
    <w:rsid w:val="50777EE4"/>
    <w:rsid w:val="507C59AC"/>
    <w:rsid w:val="50836D3A"/>
    <w:rsid w:val="50854FFE"/>
    <w:rsid w:val="50942CF5"/>
    <w:rsid w:val="50A41F0B"/>
    <w:rsid w:val="50AB003F"/>
    <w:rsid w:val="50B576FA"/>
    <w:rsid w:val="50BB4272"/>
    <w:rsid w:val="50E772C9"/>
    <w:rsid w:val="50EA0B67"/>
    <w:rsid w:val="50EC2B32"/>
    <w:rsid w:val="510F77EF"/>
    <w:rsid w:val="51145872"/>
    <w:rsid w:val="511D718F"/>
    <w:rsid w:val="513B7615"/>
    <w:rsid w:val="51556929"/>
    <w:rsid w:val="51694182"/>
    <w:rsid w:val="51695F30"/>
    <w:rsid w:val="516C3C72"/>
    <w:rsid w:val="517A4ADA"/>
    <w:rsid w:val="517B2107"/>
    <w:rsid w:val="51A72A29"/>
    <w:rsid w:val="51A76A58"/>
    <w:rsid w:val="51B40DAA"/>
    <w:rsid w:val="51B7313F"/>
    <w:rsid w:val="51CC64BF"/>
    <w:rsid w:val="51DF4444"/>
    <w:rsid w:val="51ED6B61"/>
    <w:rsid w:val="51F223CA"/>
    <w:rsid w:val="52135808"/>
    <w:rsid w:val="521D6D1B"/>
    <w:rsid w:val="522679F4"/>
    <w:rsid w:val="5246001F"/>
    <w:rsid w:val="5253273C"/>
    <w:rsid w:val="52586AA6"/>
    <w:rsid w:val="525F7333"/>
    <w:rsid w:val="526861E8"/>
    <w:rsid w:val="527A5F1B"/>
    <w:rsid w:val="527D3469"/>
    <w:rsid w:val="527E3C5D"/>
    <w:rsid w:val="5281374D"/>
    <w:rsid w:val="528172AA"/>
    <w:rsid w:val="528F661D"/>
    <w:rsid w:val="529A4C9D"/>
    <w:rsid w:val="529A65BD"/>
    <w:rsid w:val="52A03BD4"/>
    <w:rsid w:val="52A32617"/>
    <w:rsid w:val="52AB07CA"/>
    <w:rsid w:val="52B07B71"/>
    <w:rsid w:val="52B4767F"/>
    <w:rsid w:val="52CB56EE"/>
    <w:rsid w:val="52CB6777"/>
    <w:rsid w:val="52CF6267"/>
    <w:rsid w:val="52D63A1C"/>
    <w:rsid w:val="52FC2DD4"/>
    <w:rsid w:val="530D748E"/>
    <w:rsid w:val="530E3233"/>
    <w:rsid w:val="531B5950"/>
    <w:rsid w:val="53285977"/>
    <w:rsid w:val="533407C0"/>
    <w:rsid w:val="53566988"/>
    <w:rsid w:val="53591FD4"/>
    <w:rsid w:val="535D3873"/>
    <w:rsid w:val="53607807"/>
    <w:rsid w:val="53607919"/>
    <w:rsid w:val="536A5F90"/>
    <w:rsid w:val="53704EF0"/>
    <w:rsid w:val="538B104D"/>
    <w:rsid w:val="53980D4F"/>
    <w:rsid w:val="53A96742"/>
    <w:rsid w:val="53BF4C42"/>
    <w:rsid w:val="53C71634"/>
    <w:rsid w:val="53DA0DDC"/>
    <w:rsid w:val="53FA37B7"/>
    <w:rsid w:val="543071D9"/>
    <w:rsid w:val="543A3BB4"/>
    <w:rsid w:val="54703A7A"/>
    <w:rsid w:val="54741C31"/>
    <w:rsid w:val="547C020E"/>
    <w:rsid w:val="547F3CBD"/>
    <w:rsid w:val="549A4653"/>
    <w:rsid w:val="54A379AB"/>
    <w:rsid w:val="54A6749B"/>
    <w:rsid w:val="54AF6350"/>
    <w:rsid w:val="54C067AF"/>
    <w:rsid w:val="54C31DFB"/>
    <w:rsid w:val="54E12330"/>
    <w:rsid w:val="54E16725"/>
    <w:rsid w:val="54E4693E"/>
    <w:rsid w:val="54E65AEA"/>
    <w:rsid w:val="54E776DE"/>
    <w:rsid w:val="54ED1ABF"/>
    <w:rsid w:val="54EF2619"/>
    <w:rsid w:val="54F95754"/>
    <w:rsid w:val="54FB14A2"/>
    <w:rsid w:val="54FC616E"/>
    <w:rsid w:val="54FE7711"/>
    <w:rsid w:val="55006BAB"/>
    <w:rsid w:val="55012924"/>
    <w:rsid w:val="551074B2"/>
    <w:rsid w:val="55173EF5"/>
    <w:rsid w:val="55230AEC"/>
    <w:rsid w:val="55284354"/>
    <w:rsid w:val="552F123F"/>
    <w:rsid w:val="55492453"/>
    <w:rsid w:val="554A6079"/>
    <w:rsid w:val="55807CEC"/>
    <w:rsid w:val="558F1306"/>
    <w:rsid w:val="558F1CDD"/>
    <w:rsid w:val="55AF0FD8"/>
    <w:rsid w:val="55BD7E48"/>
    <w:rsid w:val="55CC0ABE"/>
    <w:rsid w:val="55CC4CE0"/>
    <w:rsid w:val="55EB0B67"/>
    <w:rsid w:val="55EC5382"/>
    <w:rsid w:val="560721BC"/>
    <w:rsid w:val="561441ED"/>
    <w:rsid w:val="56150435"/>
    <w:rsid w:val="561E294B"/>
    <w:rsid w:val="562566FA"/>
    <w:rsid w:val="563A433F"/>
    <w:rsid w:val="563F54B2"/>
    <w:rsid w:val="56505911"/>
    <w:rsid w:val="56530F5D"/>
    <w:rsid w:val="565D6F39"/>
    <w:rsid w:val="56680EAC"/>
    <w:rsid w:val="56682C5A"/>
    <w:rsid w:val="566B62A7"/>
    <w:rsid w:val="567333AD"/>
    <w:rsid w:val="567535C9"/>
    <w:rsid w:val="56C105BC"/>
    <w:rsid w:val="56C27F0F"/>
    <w:rsid w:val="56C63EC1"/>
    <w:rsid w:val="56C8194B"/>
    <w:rsid w:val="56CD51B3"/>
    <w:rsid w:val="56D72E1C"/>
    <w:rsid w:val="571701DC"/>
    <w:rsid w:val="572528F9"/>
    <w:rsid w:val="572A43B4"/>
    <w:rsid w:val="572F19CA"/>
    <w:rsid w:val="572F5526"/>
    <w:rsid w:val="573A3ECB"/>
    <w:rsid w:val="573C40E7"/>
    <w:rsid w:val="57437223"/>
    <w:rsid w:val="574A05B2"/>
    <w:rsid w:val="575061EC"/>
    <w:rsid w:val="575319D5"/>
    <w:rsid w:val="57797D92"/>
    <w:rsid w:val="5787758C"/>
    <w:rsid w:val="57A4257F"/>
    <w:rsid w:val="57AB70CA"/>
    <w:rsid w:val="57B456D5"/>
    <w:rsid w:val="57C57C38"/>
    <w:rsid w:val="57C93BCD"/>
    <w:rsid w:val="57CC546B"/>
    <w:rsid w:val="57F64296"/>
    <w:rsid w:val="57FD5624"/>
    <w:rsid w:val="58022C3B"/>
    <w:rsid w:val="580764A3"/>
    <w:rsid w:val="5813309A"/>
    <w:rsid w:val="581A4428"/>
    <w:rsid w:val="5822508B"/>
    <w:rsid w:val="582726A1"/>
    <w:rsid w:val="582C5F09"/>
    <w:rsid w:val="583152CE"/>
    <w:rsid w:val="583427AB"/>
    <w:rsid w:val="585969B4"/>
    <w:rsid w:val="586A008D"/>
    <w:rsid w:val="58877908"/>
    <w:rsid w:val="588D0F2D"/>
    <w:rsid w:val="588D58A4"/>
    <w:rsid w:val="589A2E73"/>
    <w:rsid w:val="58BA52C3"/>
    <w:rsid w:val="58BD4D95"/>
    <w:rsid w:val="58C45F54"/>
    <w:rsid w:val="58C46142"/>
    <w:rsid w:val="58C811B1"/>
    <w:rsid w:val="58CE76BC"/>
    <w:rsid w:val="58DE7204"/>
    <w:rsid w:val="58F92290"/>
    <w:rsid w:val="590703CF"/>
    <w:rsid w:val="59136BF6"/>
    <w:rsid w:val="59155255"/>
    <w:rsid w:val="5917710E"/>
    <w:rsid w:val="591E5852"/>
    <w:rsid w:val="59232E69"/>
    <w:rsid w:val="59372DB8"/>
    <w:rsid w:val="593D7499"/>
    <w:rsid w:val="594828CF"/>
    <w:rsid w:val="594B0182"/>
    <w:rsid w:val="595B6AA6"/>
    <w:rsid w:val="59697F43"/>
    <w:rsid w:val="596D4A2C"/>
    <w:rsid w:val="597C07CB"/>
    <w:rsid w:val="5980650D"/>
    <w:rsid w:val="59927FEE"/>
    <w:rsid w:val="599C0E6D"/>
    <w:rsid w:val="599E2E37"/>
    <w:rsid w:val="59AF3A4D"/>
    <w:rsid w:val="59B12B6A"/>
    <w:rsid w:val="59B91A1F"/>
    <w:rsid w:val="59C323CA"/>
    <w:rsid w:val="59CF7108"/>
    <w:rsid w:val="59F43EBA"/>
    <w:rsid w:val="5A074538"/>
    <w:rsid w:val="5A0C7DA1"/>
    <w:rsid w:val="5A201A9E"/>
    <w:rsid w:val="5A290952"/>
    <w:rsid w:val="5A2A6479"/>
    <w:rsid w:val="5A33532D"/>
    <w:rsid w:val="5A3D61AC"/>
    <w:rsid w:val="5A44578C"/>
    <w:rsid w:val="5A5359CF"/>
    <w:rsid w:val="5A7E331D"/>
    <w:rsid w:val="5A8262B5"/>
    <w:rsid w:val="5A987886"/>
    <w:rsid w:val="5A9B2ED2"/>
    <w:rsid w:val="5A9D7934"/>
    <w:rsid w:val="5AA004E9"/>
    <w:rsid w:val="5AAD4866"/>
    <w:rsid w:val="5AB346C0"/>
    <w:rsid w:val="5ABF3065"/>
    <w:rsid w:val="5ACB1A0A"/>
    <w:rsid w:val="5ADD1E8F"/>
    <w:rsid w:val="5AE14D89"/>
    <w:rsid w:val="5AE20B01"/>
    <w:rsid w:val="5B026756"/>
    <w:rsid w:val="5B04316E"/>
    <w:rsid w:val="5B1909C7"/>
    <w:rsid w:val="5B1F58B2"/>
    <w:rsid w:val="5B280C0A"/>
    <w:rsid w:val="5B2D6776"/>
    <w:rsid w:val="5B351B1B"/>
    <w:rsid w:val="5B5163B3"/>
    <w:rsid w:val="5B6D2AC1"/>
    <w:rsid w:val="5B6E42E3"/>
    <w:rsid w:val="5B6F4E81"/>
    <w:rsid w:val="5B7D3827"/>
    <w:rsid w:val="5B7E32D7"/>
    <w:rsid w:val="5B865931"/>
    <w:rsid w:val="5B8A29A4"/>
    <w:rsid w:val="5B9C5154"/>
    <w:rsid w:val="5BA858A7"/>
    <w:rsid w:val="5BB43EFF"/>
    <w:rsid w:val="5BB97AB4"/>
    <w:rsid w:val="5BCC5A39"/>
    <w:rsid w:val="5BCD17B1"/>
    <w:rsid w:val="5BDA5B54"/>
    <w:rsid w:val="5BDB7A2A"/>
    <w:rsid w:val="5BED775E"/>
    <w:rsid w:val="5BFE5E0F"/>
    <w:rsid w:val="5C050F4B"/>
    <w:rsid w:val="5C1354A4"/>
    <w:rsid w:val="5C190553"/>
    <w:rsid w:val="5C1D05D0"/>
    <w:rsid w:val="5C1D7BD9"/>
    <w:rsid w:val="5C292E8C"/>
    <w:rsid w:val="5C381321"/>
    <w:rsid w:val="5C3830CF"/>
    <w:rsid w:val="5C3D2493"/>
    <w:rsid w:val="5C533A65"/>
    <w:rsid w:val="5C751FF2"/>
    <w:rsid w:val="5C7B745F"/>
    <w:rsid w:val="5C814A76"/>
    <w:rsid w:val="5C8C341B"/>
    <w:rsid w:val="5C9D73D6"/>
    <w:rsid w:val="5CA12D70"/>
    <w:rsid w:val="5CA2679A"/>
    <w:rsid w:val="5CA47A37"/>
    <w:rsid w:val="5CB00208"/>
    <w:rsid w:val="5CBF3634"/>
    <w:rsid w:val="5CC22998"/>
    <w:rsid w:val="5CC55CD7"/>
    <w:rsid w:val="5CD03307"/>
    <w:rsid w:val="5CD34BA6"/>
    <w:rsid w:val="5CD64696"/>
    <w:rsid w:val="5CD66444"/>
    <w:rsid w:val="5CEE19DF"/>
    <w:rsid w:val="5CFE60C6"/>
    <w:rsid w:val="5CFF7805"/>
    <w:rsid w:val="5D0273FA"/>
    <w:rsid w:val="5D0B07E3"/>
    <w:rsid w:val="5D0D7557"/>
    <w:rsid w:val="5D192F00"/>
    <w:rsid w:val="5D1B5C36"/>
    <w:rsid w:val="5D1C1A5D"/>
    <w:rsid w:val="5D226CFA"/>
    <w:rsid w:val="5D252F8E"/>
    <w:rsid w:val="5D535CE6"/>
    <w:rsid w:val="5D55380D"/>
    <w:rsid w:val="5D5A175B"/>
    <w:rsid w:val="5D5E6AB1"/>
    <w:rsid w:val="5D6B1282"/>
    <w:rsid w:val="5D802ECC"/>
    <w:rsid w:val="5D8A795A"/>
    <w:rsid w:val="5D8B5480"/>
    <w:rsid w:val="5D9B28C6"/>
    <w:rsid w:val="5D9D7BB3"/>
    <w:rsid w:val="5D9E1657"/>
    <w:rsid w:val="5D9E6F62"/>
    <w:rsid w:val="5DA87DE0"/>
    <w:rsid w:val="5DBB3FB7"/>
    <w:rsid w:val="5DC42740"/>
    <w:rsid w:val="5DC71C27"/>
    <w:rsid w:val="5DD14C26"/>
    <w:rsid w:val="5DE6679D"/>
    <w:rsid w:val="5DF60DB8"/>
    <w:rsid w:val="5DFC1EDA"/>
    <w:rsid w:val="5E023994"/>
    <w:rsid w:val="5E0F1C0D"/>
    <w:rsid w:val="5E0F60B1"/>
    <w:rsid w:val="5E162F9C"/>
    <w:rsid w:val="5E196F30"/>
    <w:rsid w:val="5E1C257C"/>
    <w:rsid w:val="5E3B2A02"/>
    <w:rsid w:val="5E3C122D"/>
    <w:rsid w:val="5E457D25"/>
    <w:rsid w:val="5E4A30BA"/>
    <w:rsid w:val="5E55537D"/>
    <w:rsid w:val="5E602469"/>
    <w:rsid w:val="5E6F6B50"/>
    <w:rsid w:val="5E7F023D"/>
    <w:rsid w:val="5E923E8F"/>
    <w:rsid w:val="5E934A08"/>
    <w:rsid w:val="5EA56ECA"/>
    <w:rsid w:val="5EAA72FD"/>
    <w:rsid w:val="5EAF273F"/>
    <w:rsid w:val="5EC62C14"/>
    <w:rsid w:val="5EDC2437"/>
    <w:rsid w:val="5EE74938"/>
    <w:rsid w:val="5EEB4428"/>
    <w:rsid w:val="5F0F0BB5"/>
    <w:rsid w:val="5F28567D"/>
    <w:rsid w:val="5F2913F5"/>
    <w:rsid w:val="5F48187B"/>
    <w:rsid w:val="5F5C0E82"/>
    <w:rsid w:val="5F6661A5"/>
    <w:rsid w:val="5F693F19"/>
    <w:rsid w:val="5F6B37BB"/>
    <w:rsid w:val="5F7A1C50"/>
    <w:rsid w:val="5F7A755A"/>
    <w:rsid w:val="5F7D704B"/>
    <w:rsid w:val="5F9F3465"/>
    <w:rsid w:val="5FA32F55"/>
    <w:rsid w:val="5FAD7930"/>
    <w:rsid w:val="5FB567E4"/>
    <w:rsid w:val="5FB6678D"/>
    <w:rsid w:val="5FB92779"/>
    <w:rsid w:val="5FBE42CB"/>
    <w:rsid w:val="5FC627A0"/>
    <w:rsid w:val="5FCF5AF8"/>
    <w:rsid w:val="5FCF78A6"/>
    <w:rsid w:val="5FD72BFF"/>
    <w:rsid w:val="5FF361F6"/>
    <w:rsid w:val="5FFB4B3F"/>
    <w:rsid w:val="5FFC0E59"/>
    <w:rsid w:val="60065292"/>
    <w:rsid w:val="601E41DF"/>
    <w:rsid w:val="60365B77"/>
    <w:rsid w:val="60404775"/>
    <w:rsid w:val="604F6C39"/>
    <w:rsid w:val="60634492"/>
    <w:rsid w:val="60893CD0"/>
    <w:rsid w:val="608E7761"/>
    <w:rsid w:val="60932FCA"/>
    <w:rsid w:val="609E5846"/>
    <w:rsid w:val="60A30D33"/>
    <w:rsid w:val="60A523CE"/>
    <w:rsid w:val="60C211B9"/>
    <w:rsid w:val="60C2565D"/>
    <w:rsid w:val="60C56EFB"/>
    <w:rsid w:val="60C95D69"/>
    <w:rsid w:val="60CD66FA"/>
    <w:rsid w:val="60DB227B"/>
    <w:rsid w:val="60E3046B"/>
    <w:rsid w:val="60E96BBA"/>
    <w:rsid w:val="60EE6452"/>
    <w:rsid w:val="60FE457C"/>
    <w:rsid w:val="6138147B"/>
    <w:rsid w:val="613B0F6B"/>
    <w:rsid w:val="61406582"/>
    <w:rsid w:val="61481E79"/>
    <w:rsid w:val="6155202D"/>
    <w:rsid w:val="616B185F"/>
    <w:rsid w:val="616D5F03"/>
    <w:rsid w:val="616E7593"/>
    <w:rsid w:val="617C3A5E"/>
    <w:rsid w:val="617F354E"/>
    <w:rsid w:val="617F501F"/>
    <w:rsid w:val="618446C0"/>
    <w:rsid w:val="61871227"/>
    <w:rsid w:val="618C17C7"/>
    <w:rsid w:val="61A60ADB"/>
    <w:rsid w:val="61AE798F"/>
    <w:rsid w:val="61BC02FE"/>
    <w:rsid w:val="61C3343B"/>
    <w:rsid w:val="61D513C0"/>
    <w:rsid w:val="61D75138"/>
    <w:rsid w:val="61E2250F"/>
    <w:rsid w:val="6209037E"/>
    <w:rsid w:val="62141EE8"/>
    <w:rsid w:val="621912AD"/>
    <w:rsid w:val="624B3430"/>
    <w:rsid w:val="625B4D27"/>
    <w:rsid w:val="626D15F8"/>
    <w:rsid w:val="626D39E9"/>
    <w:rsid w:val="626F5370"/>
    <w:rsid w:val="62703EA6"/>
    <w:rsid w:val="62736350"/>
    <w:rsid w:val="627D641C"/>
    <w:rsid w:val="62892E07"/>
    <w:rsid w:val="62990FB6"/>
    <w:rsid w:val="62A22996"/>
    <w:rsid w:val="62A32961"/>
    <w:rsid w:val="62B15989"/>
    <w:rsid w:val="62C456BC"/>
    <w:rsid w:val="62D1322E"/>
    <w:rsid w:val="62D36B7D"/>
    <w:rsid w:val="62D81168"/>
    <w:rsid w:val="62E06810"/>
    <w:rsid w:val="62E91730"/>
    <w:rsid w:val="62F90612"/>
    <w:rsid w:val="63141A74"/>
    <w:rsid w:val="6321702C"/>
    <w:rsid w:val="63400ABB"/>
    <w:rsid w:val="6341061D"/>
    <w:rsid w:val="63475F49"/>
    <w:rsid w:val="634A1BA3"/>
    <w:rsid w:val="636B2DD8"/>
    <w:rsid w:val="636C7B02"/>
    <w:rsid w:val="63715118"/>
    <w:rsid w:val="63750765"/>
    <w:rsid w:val="637F15E3"/>
    <w:rsid w:val="63905FBF"/>
    <w:rsid w:val="63A06B3E"/>
    <w:rsid w:val="63B15515"/>
    <w:rsid w:val="63B75221"/>
    <w:rsid w:val="63C65464"/>
    <w:rsid w:val="63CE2A65"/>
    <w:rsid w:val="63D368D7"/>
    <w:rsid w:val="63FB3D18"/>
    <w:rsid w:val="63FF2724"/>
    <w:rsid w:val="6408782B"/>
    <w:rsid w:val="640E2967"/>
    <w:rsid w:val="641C32D6"/>
    <w:rsid w:val="641E1242"/>
    <w:rsid w:val="64300BD6"/>
    <w:rsid w:val="645111D2"/>
    <w:rsid w:val="64597399"/>
    <w:rsid w:val="645F59C2"/>
    <w:rsid w:val="64630F05"/>
    <w:rsid w:val="646E3536"/>
    <w:rsid w:val="646F78AA"/>
    <w:rsid w:val="647924D6"/>
    <w:rsid w:val="64793559"/>
    <w:rsid w:val="648A46E4"/>
    <w:rsid w:val="64942E6C"/>
    <w:rsid w:val="64A31301"/>
    <w:rsid w:val="64AA6B34"/>
    <w:rsid w:val="64AD3F2E"/>
    <w:rsid w:val="64B74DAD"/>
    <w:rsid w:val="64C80D68"/>
    <w:rsid w:val="64D21BE7"/>
    <w:rsid w:val="64D43B23"/>
    <w:rsid w:val="64E078AA"/>
    <w:rsid w:val="64E2007C"/>
    <w:rsid w:val="64E36E7E"/>
    <w:rsid w:val="64F25DE5"/>
    <w:rsid w:val="64F41B5D"/>
    <w:rsid w:val="65077AE2"/>
    <w:rsid w:val="652F2B95"/>
    <w:rsid w:val="65373C9D"/>
    <w:rsid w:val="65393A14"/>
    <w:rsid w:val="653D52B2"/>
    <w:rsid w:val="65491EA9"/>
    <w:rsid w:val="656D3B1C"/>
    <w:rsid w:val="65736F26"/>
    <w:rsid w:val="65750EF0"/>
    <w:rsid w:val="65766A16"/>
    <w:rsid w:val="6578453C"/>
    <w:rsid w:val="659375C8"/>
    <w:rsid w:val="659B11BB"/>
    <w:rsid w:val="659F54E0"/>
    <w:rsid w:val="659F5F6D"/>
    <w:rsid w:val="65B31A18"/>
    <w:rsid w:val="65B47423"/>
    <w:rsid w:val="65BB267B"/>
    <w:rsid w:val="65BF438E"/>
    <w:rsid w:val="65C40D88"/>
    <w:rsid w:val="65C9123C"/>
    <w:rsid w:val="65D06126"/>
    <w:rsid w:val="65D2213C"/>
    <w:rsid w:val="65D73958"/>
    <w:rsid w:val="65DA0D53"/>
    <w:rsid w:val="65FD4851"/>
    <w:rsid w:val="66042274"/>
    <w:rsid w:val="66065FEC"/>
    <w:rsid w:val="660A5ADC"/>
    <w:rsid w:val="66106E6A"/>
    <w:rsid w:val="66130A5F"/>
    <w:rsid w:val="661A55F3"/>
    <w:rsid w:val="661F2C0A"/>
    <w:rsid w:val="662243A2"/>
    <w:rsid w:val="662B15AE"/>
    <w:rsid w:val="663366B5"/>
    <w:rsid w:val="664D3C1B"/>
    <w:rsid w:val="66575E67"/>
    <w:rsid w:val="6657743C"/>
    <w:rsid w:val="666A4CD5"/>
    <w:rsid w:val="66855163"/>
    <w:rsid w:val="668B1BBA"/>
    <w:rsid w:val="669058B5"/>
    <w:rsid w:val="66AD46B9"/>
    <w:rsid w:val="66B15F58"/>
    <w:rsid w:val="66B617C0"/>
    <w:rsid w:val="66C96E18"/>
    <w:rsid w:val="66CB4B3F"/>
    <w:rsid w:val="66D278D8"/>
    <w:rsid w:val="66F422E8"/>
    <w:rsid w:val="66F978FF"/>
    <w:rsid w:val="66FD53B0"/>
    <w:rsid w:val="670A38BA"/>
    <w:rsid w:val="671B7875"/>
    <w:rsid w:val="671E7365"/>
    <w:rsid w:val="6723646E"/>
    <w:rsid w:val="67362901"/>
    <w:rsid w:val="67452B44"/>
    <w:rsid w:val="6760172C"/>
    <w:rsid w:val="677D5E3A"/>
    <w:rsid w:val="67900263"/>
    <w:rsid w:val="6798039C"/>
    <w:rsid w:val="67B00B64"/>
    <w:rsid w:val="67CB129B"/>
    <w:rsid w:val="67D6379C"/>
    <w:rsid w:val="67D87514"/>
    <w:rsid w:val="67FB3202"/>
    <w:rsid w:val="6804655B"/>
    <w:rsid w:val="68071BA7"/>
    <w:rsid w:val="680C5BF3"/>
    <w:rsid w:val="681542C4"/>
    <w:rsid w:val="681F3FA9"/>
    <w:rsid w:val="6834222E"/>
    <w:rsid w:val="68363783"/>
    <w:rsid w:val="683D0261"/>
    <w:rsid w:val="68466B73"/>
    <w:rsid w:val="68572B2F"/>
    <w:rsid w:val="68651B64"/>
    <w:rsid w:val="687A16BB"/>
    <w:rsid w:val="687C4343"/>
    <w:rsid w:val="688E25CD"/>
    <w:rsid w:val="68A71A23"/>
    <w:rsid w:val="68BA116D"/>
    <w:rsid w:val="68C17BA1"/>
    <w:rsid w:val="68C53F3C"/>
    <w:rsid w:val="68CD3109"/>
    <w:rsid w:val="68D4417F"/>
    <w:rsid w:val="68DE0B5A"/>
    <w:rsid w:val="68E02C6D"/>
    <w:rsid w:val="68E05953"/>
    <w:rsid w:val="68ED3493"/>
    <w:rsid w:val="68F62348"/>
    <w:rsid w:val="68F760C0"/>
    <w:rsid w:val="68FF3F74"/>
    <w:rsid w:val="69124CA8"/>
    <w:rsid w:val="692C5D69"/>
    <w:rsid w:val="692C6FC0"/>
    <w:rsid w:val="693764BC"/>
    <w:rsid w:val="69390C8F"/>
    <w:rsid w:val="69401815"/>
    <w:rsid w:val="69431F17"/>
    <w:rsid w:val="694E3F32"/>
    <w:rsid w:val="696372B1"/>
    <w:rsid w:val="69715B00"/>
    <w:rsid w:val="6974326C"/>
    <w:rsid w:val="697821EE"/>
    <w:rsid w:val="697D0373"/>
    <w:rsid w:val="698041B7"/>
    <w:rsid w:val="698536CB"/>
    <w:rsid w:val="69935DE8"/>
    <w:rsid w:val="69A27DD9"/>
    <w:rsid w:val="69AA3132"/>
    <w:rsid w:val="69C77840"/>
    <w:rsid w:val="69D32689"/>
    <w:rsid w:val="69D97BBF"/>
    <w:rsid w:val="69DB153D"/>
    <w:rsid w:val="69FD14B4"/>
    <w:rsid w:val="6A0C16F7"/>
    <w:rsid w:val="6A303637"/>
    <w:rsid w:val="6A38073E"/>
    <w:rsid w:val="6A3D3FA6"/>
    <w:rsid w:val="6A4D243B"/>
    <w:rsid w:val="6A554E4C"/>
    <w:rsid w:val="6A5A2748"/>
    <w:rsid w:val="6A5C442C"/>
    <w:rsid w:val="6A5E63F6"/>
    <w:rsid w:val="6A701305"/>
    <w:rsid w:val="6A707ED8"/>
    <w:rsid w:val="6A961EB0"/>
    <w:rsid w:val="6A9B3CF0"/>
    <w:rsid w:val="6A9E4A45"/>
    <w:rsid w:val="6AA33E09"/>
    <w:rsid w:val="6AA47B81"/>
    <w:rsid w:val="6AA858C3"/>
    <w:rsid w:val="6AAB6E52"/>
    <w:rsid w:val="6AB15A99"/>
    <w:rsid w:val="6ACD0E86"/>
    <w:rsid w:val="6AE10721"/>
    <w:rsid w:val="6AF040F6"/>
    <w:rsid w:val="6B1C3BBC"/>
    <w:rsid w:val="6B1E5B86"/>
    <w:rsid w:val="6B3A0841"/>
    <w:rsid w:val="6B4D78E6"/>
    <w:rsid w:val="6B5477F9"/>
    <w:rsid w:val="6B55383D"/>
    <w:rsid w:val="6B6C069F"/>
    <w:rsid w:val="6B773FC3"/>
    <w:rsid w:val="6B836982"/>
    <w:rsid w:val="6B866FE8"/>
    <w:rsid w:val="6B930322"/>
    <w:rsid w:val="6BAF6C83"/>
    <w:rsid w:val="6BBF1117"/>
    <w:rsid w:val="6BC77FCB"/>
    <w:rsid w:val="6BD97868"/>
    <w:rsid w:val="6BE82FF2"/>
    <w:rsid w:val="6BF568E6"/>
    <w:rsid w:val="6C050FB1"/>
    <w:rsid w:val="6C0A7EB8"/>
    <w:rsid w:val="6C136D6D"/>
    <w:rsid w:val="6C282A6D"/>
    <w:rsid w:val="6C2C42D2"/>
    <w:rsid w:val="6C2C7E2E"/>
    <w:rsid w:val="6C2D2204"/>
    <w:rsid w:val="6C384A25"/>
    <w:rsid w:val="6C3A0673"/>
    <w:rsid w:val="6C424098"/>
    <w:rsid w:val="6C447B47"/>
    <w:rsid w:val="6C450EF0"/>
    <w:rsid w:val="6C496C32"/>
    <w:rsid w:val="6C6A0C76"/>
    <w:rsid w:val="6C6A6303"/>
    <w:rsid w:val="6C733CAF"/>
    <w:rsid w:val="6C8574C7"/>
    <w:rsid w:val="6C961A2D"/>
    <w:rsid w:val="6CA67BE1"/>
    <w:rsid w:val="6CA87DFD"/>
    <w:rsid w:val="6CAE12C8"/>
    <w:rsid w:val="6CBE13CE"/>
    <w:rsid w:val="6CC16C42"/>
    <w:rsid w:val="6CD52274"/>
    <w:rsid w:val="6CD644A8"/>
    <w:rsid w:val="6CDC145C"/>
    <w:rsid w:val="6CDC3602"/>
    <w:rsid w:val="6CDE381E"/>
    <w:rsid w:val="6CED3A62"/>
    <w:rsid w:val="6CF665DB"/>
    <w:rsid w:val="6CF941B4"/>
    <w:rsid w:val="6CFC37BC"/>
    <w:rsid w:val="6CFC3CA5"/>
    <w:rsid w:val="6D156B14"/>
    <w:rsid w:val="6D20018F"/>
    <w:rsid w:val="6D224B39"/>
    <w:rsid w:val="6D237483"/>
    <w:rsid w:val="6D2A25C0"/>
    <w:rsid w:val="6D4D2752"/>
    <w:rsid w:val="6D4D62AE"/>
    <w:rsid w:val="6D5238C5"/>
    <w:rsid w:val="6D5C4743"/>
    <w:rsid w:val="6D5E495F"/>
    <w:rsid w:val="6D667370"/>
    <w:rsid w:val="6D8A5CBE"/>
    <w:rsid w:val="6D9E6B0A"/>
    <w:rsid w:val="6DAE2C40"/>
    <w:rsid w:val="6DBB590E"/>
    <w:rsid w:val="6DD048FC"/>
    <w:rsid w:val="6DD536EF"/>
    <w:rsid w:val="6DF6676A"/>
    <w:rsid w:val="6DFB5D0A"/>
    <w:rsid w:val="6DFE0B35"/>
    <w:rsid w:val="6E0028EB"/>
    <w:rsid w:val="6E093BE3"/>
    <w:rsid w:val="6E13574A"/>
    <w:rsid w:val="6E153270"/>
    <w:rsid w:val="6E1868BC"/>
    <w:rsid w:val="6E3127DD"/>
    <w:rsid w:val="6E3851B0"/>
    <w:rsid w:val="6E3D6323"/>
    <w:rsid w:val="6E451CB0"/>
    <w:rsid w:val="6E4A3EC5"/>
    <w:rsid w:val="6E661D1D"/>
    <w:rsid w:val="6E752D9C"/>
    <w:rsid w:val="6E7855AD"/>
    <w:rsid w:val="6E9005CF"/>
    <w:rsid w:val="6E9F19DF"/>
    <w:rsid w:val="6EA036EA"/>
    <w:rsid w:val="6EA42846"/>
    <w:rsid w:val="6EA6211A"/>
    <w:rsid w:val="6EA6272D"/>
    <w:rsid w:val="6EC530BF"/>
    <w:rsid w:val="6EC679C6"/>
    <w:rsid w:val="6ECB7DD2"/>
    <w:rsid w:val="6ECC6BD6"/>
    <w:rsid w:val="6ECF78C3"/>
    <w:rsid w:val="6ED50C51"/>
    <w:rsid w:val="6EE844E0"/>
    <w:rsid w:val="6EFE1F56"/>
    <w:rsid w:val="6F0155A2"/>
    <w:rsid w:val="6F0A08FB"/>
    <w:rsid w:val="6F0B01CF"/>
    <w:rsid w:val="6F1654F2"/>
    <w:rsid w:val="6F173018"/>
    <w:rsid w:val="6F190B3E"/>
    <w:rsid w:val="6F215C44"/>
    <w:rsid w:val="6F23376B"/>
    <w:rsid w:val="6F2968A7"/>
    <w:rsid w:val="6F31233E"/>
    <w:rsid w:val="6F433E0D"/>
    <w:rsid w:val="6F525DFE"/>
    <w:rsid w:val="6F767D3E"/>
    <w:rsid w:val="6F8704E4"/>
    <w:rsid w:val="6FA523D2"/>
    <w:rsid w:val="6FB70357"/>
    <w:rsid w:val="6FB940CF"/>
    <w:rsid w:val="6FBC36EC"/>
    <w:rsid w:val="6FBD0039"/>
    <w:rsid w:val="6FDE58E3"/>
    <w:rsid w:val="6FE949B4"/>
    <w:rsid w:val="6FF17C9A"/>
    <w:rsid w:val="700A66D9"/>
    <w:rsid w:val="702F613F"/>
    <w:rsid w:val="70333CAC"/>
    <w:rsid w:val="703A6FBE"/>
    <w:rsid w:val="704343AA"/>
    <w:rsid w:val="7046087A"/>
    <w:rsid w:val="704A2F79"/>
    <w:rsid w:val="70595347"/>
    <w:rsid w:val="705A7660"/>
    <w:rsid w:val="705B1387"/>
    <w:rsid w:val="70682C9E"/>
    <w:rsid w:val="706E0425"/>
    <w:rsid w:val="70710506"/>
    <w:rsid w:val="707C4E87"/>
    <w:rsid w:val="70820965"/>
    <w:rsid w:val="708B5A6B"/>
    <w:rsid w:val="70930B83"/>
    <w:rsid w:val="709D486D"/>
    <w:rsid w:val="70A66401"/>
    <w:rsid w:val="70B2124A"/>
    <w:rsid w:val="70C04FE9"/>
    <w:rsid w:val="70C63218"/>
    <w:rsid w:val="70D04D21"/>
    <w:rsid w:val="70D07922"/>
    <w:rsid w:val="70F21CFF"/>
    <w:rsid w:val="70FD4B80"/>
    <w:rsid w:val="71036320"/>
    <w:rsid w:val="710654E8"/>
    <w:rsid w:val="710F4C54"/>
    <w:rsid w:val="711A6DEF"/>
    <w:rsid w:val="71306613"/>
    <w:rsid w:val="71535E5D"/>
    <w:rsid w:val="7161057A"/>
    <w:rsid w:val="717C3606"/>
    <w:rsid w:val="71883D59"/>
    <w:rsid w:val="71902C0D"/>
    <w:rsid w:val="719426FE"/>
    <w:rsid w:val="719646C8"/>
    <w:rsid w:val="71995F66"/>
    <w:rsid w:val="71A86BB8"/>
    <w:rsid w:val="71B72890"/>
    <w:rsid w:val="71BD515E"/>
    <w:rsid w:val="71BE3C1E"/>
    <w:rsid w:val="71D451F0"/>
    <w:rsid w:val="71D77F7B"/>
    <w:rsid w:val="71E31248"/>
    <w:rsid w:val="71F238C8"/>
    <w:rsid w:val="720535FB"/>
    <w:rsid w:val="72070B3D"/>
    <w:rsid w:val="72086C48"/>
    <w:rsid w:val="720A29C0"/>
    <w:rsid w:val="721750DD"/>
    <w:rsid w:val="721B697B"/>
    <w:rsid w:val="72273572"/>
    <w:rsid w:val="722C2936"/>
    <w:rsid w:val="722E3AD6"/>
    <w:rsid w:val="723137EA"/>
    <w:rsid w:val="7243196D"/>
    <w:rsid w:val="72450106"/>
    <w:rsid w:val="72460CC8"/>
    <w:rsid w:val="724E32D1"/>
    <w:rsid w:val="72587BCF"/>
    <w:rsid w:val="725A3947"/>
    <w:rsid w:val="725B146D"/>
    <w:rsid w:val="725E2D0C"/>
    <w:rsid w:val="726A7902"/>
    <w:rsid w:val="726C71D7"/>
    <w:rsid w:val="727A7B45"/>
    <w:rsid w:val="727E6F0A"/>
    <w:rsid w:val="729624A5"/>
    <w:rsid w:val="72AE5A41"/>
    <w:rsid w:val="72C9287B"/>
    <w:rsid w:val="72DE2E02"/>
    <w:rsid w:val="72FD181C"/>
    <w:rsid w:val="72FF44EF"/>
    <w:rsid w:val="73013655"/>
    <w:rsid w:val="731358A4"/>
    <w:rsid w:val="7321278B"/>
    <w:rsid w:val="73353A6C"/>
    <w:rsid w:val="7339611F"/>
    <w:rsid w:val="734D7008"/>
    <w:rsid w:val="7352461E"/>
    <w:rsid w:val="73552361"/>
    <w:rsid w:val="73691968"/>
    <w:rsid w:val="73830C7C"/>
    <w:rsid w:val="73842C37"/>
    <w:rsid w:val="7387342C"/>
    <w:rsid w:val="738A200A"/>
    <w:rsid w:val="739F538A"/>
    <w:rsid w:val="73A40BF2"/>
    <w:rsid w:val="73C86B03"/>
    <w:rsid w:val="73CB43D1"/>
    <w:rsid w:val="73D72D76"/>
    <w:rsid w:val="73EA2AA9"/>
    <w:rsid w:val="73F76FDE"/>
    <w:rsid w:val="73FB6A64"/>
    <w:rsid w:val="74022E60"/>
    <w:rsid w:val="740D6797"/>
    <w:rsid w:val="742B5985"/>
    <w:rsid w:val="7439758C"/>
    <w:rsid w:val="74673347"/>
    <w:rsid w:val="746C0790"/>
    <w:rsid w:val="747448B2"/>
    <w:rsid w:val="74911176"/>
    <w:rsid w:val="74946027"/>
    <w:rsid w:val="749670C7"/>
    <w:rsid w:val="749D5D6D"/>
    <w:rsid w:val="74A013B9"/>
    <w:rsid w:val="74A94712"/>
    <w:rsid w:val="74AB66DC"/>
    <w:rsid w:val="74B17A6A"/>
    <w:rsid w:val="74C90910"/>
    <w:rsid w:val="74CB28DA"/>
    <w:rsid w:val="74D472B5"/>
    <w:rsid w:val="74F71921"/>
    <w:rsid w:val="75114065"/>
    <w:rsid w:val="753417B5"/>
    <w:rsid w:val="754601B3"/>
    <w:rsid w:val="754D7793"/>
    <w:rsid w:val="75693EA1"/>
    <w:rsid w:val="75846EE4"/>
    <w:rsid w:val="75A1363B"/>
    <w:rsid w:val="75A269D8"/>
    <w:rsid w:val="75A86778"/>
    <w:rsid w:val="75AB309B"/>
    <w:rsid w:val="75B72E5F"/>
    <w:rsid w:val="75C90789"/>
    <w:rsid w:val="75CA2B92"/>
    <w:rsid w:val="75D23DA7"/>
    <w:rsid w:val="75E02E27"/>
    <w:rsid w:val="75E11CC2"/>
    <w:rsid w:val="75EB48B6"/>
    <w:rsid w:val="75F02828"/>
    <w:rsid w:val="76165DD7"/>
    <w:rsid w:val="761A57F1"/>
    <w:rsid w:val="76231A17"/>
    <w:rsid w:val="762744B4"/>
    <w:rsid w:val="762F0C9A"/>
    <w:rsid w:val="763224E5"/>
    <w:rsid w:val="7634092A"/>
    <w:rsid w:val="76360227"/>
    <w:rsid w:val="76385D90"/>
    <w:rsid w:val="76391AC6"/>
    <w:rsid w:val="76500BBD"/>
    <w:rsid w:val="7657019E"/>
    <w:rsid w:val="7671125F"/>
    <w:rsid w:val="76760624"/>
    <w:rsid w:val="767D5E56"/>
    <w:rsid w:val="76854D0B"/>
    <w:rsid w:val="768E0063"/>
    <w:rsid w:val="76A47E6C"/>
    <w:rsid w:val="76AC04E9"/>
    <w:rsid w:val="76B4739E"/>
    <w:rsid w:val="76D36903"/>
    <w:rsid w:val="76D812DE"/>
    <w:rsid w:val="76EC3335"/>
    <w:rsid w:val="76FB4FCD"/>
    <w:rsid w:val="77040325"/>
    <w:rsid w:val="770B7D7B"/>
    <w:rsid w:val="770C63B2"/>
    <w:rsid w:val="77170059"/>
    <w:rsid w:val="77240E3C"/>
    <w:rsid w:val="772462D2"/>
    <w:rsid w:val="774464EA"/>
    <w:rsid w:val="774E7899"/>
    <w:rsid w:val="775C3CBE"/>
    <w:rsid w:val="777F64D6"/>
    <w:rsid w:val="778D20C9"/>
    <w:rsid w:val="7793141C"/>
    <w:rsid w:val="77AB254F"/>
    <w:rsid w:val="77BF424C"/>
    <w:rsid w:val="77D47B0B"/>
    <w:rsid w:val="77DD2CB6"/>
    <w:rsid w:val="77F2370B"/>
    <w:rsid w:val="7810200E"/>
    <w:rsid w:val="78175E36"/>
    <w:rsid w:val="781C51FB"/>
    <w:rsid w:val="781C741E"/>
    <w:rsid w:val="781F604F"/>
    <w:rsid w:val="782F4F2E"/>
    <w:rsid w:val="78326FD3"/>
    <w:rsid w:val="78485FF0"/>
    <w:rsid w:val="785C7CED"/>
    <w:rsid w:val="78680440"/>
    <w:rsid w:val="786F17CF"/>
    <w:rsid w:val="788259A6"/>
    <w:rsid w:val="788334CC"/>
    <w:rsid w:val="789F751B"/>
    <w:rsid w:val="78A535AE"/>
    <w:rsid w:val="78AD22F7"/>
    <w:rsid w:val="78CA10FB"/>
    <w:rsid w:val="78CC7A8F"/>
    <w:rsid w:val="78D25BEB"/>
    <w:rsid w:val="78D67AA0"/>
    <w:rsid w:val="78DF4BA6"/>
    <w:rsid w:val="79317119"/>
    <w:rsid w:val="79532E9E"/>
    <w:rsid w:val="795D1F6F"/>
    <w:rsid w:val="79607369"/>
    <w:rsid w:val="79654980"/>
    <w:rsid w:val="796B01E8"/>
    <w:rsid w:val="79782905"/>
    <w:rsid w:val="799C1113"/>
    <w:rsid w:val="79AB6836"/>
    <w:rsid w:val="79BE0C60"/>
    <w:rsid w:val="79C1605A"/>
    <w:rsid w:val="79C6378B"/>
    <w:rsid w:val="79C8388C"/>
    <w:rsid w:val="79C97604"/>
    <w:rsid w:val="79D264B9"/>
    <w:rsid w:val="79E104AA"/>
    <w:rsid w:val="79E13F3E"/>
    <w:rsid w:val="79E166FC"/>
    <w:rsid w:val="79E61F64"/>
    <w:rsid w:val="79E87A8A"/>
    <w:rsid w:val="79E93803"/>
    <w:rsid w:val="79ED32F3"/>
    <w:rsid w:val="7A067F11"/>
    <w:rsid w:val="7A0B3779"/>
    <w:rsid w:val="7A170370"/>
    <w:rsid w:val="7A1A3B88"/>
    <w:rsid w:val="7A291E51"/>
    <w:rsid w:val="7A2C58A4"/>
    <w:rsid w:val="7A480258"/>
    <w:rsid w:val="7A4D1FE3"/>
    <w:rsid w:val="7A543372"/>
    <w:rsid w:val="7A590988"/>
    <w:rsid w:val="7A5A319C"/>
    <w:rsid w:val="7A5E7D4D"/>
    <w:rsid w:val="7A7237F8"/>
    <w:rsid w:val="7A727261"/>
    <w:rsid w:val="7A7430CC"/>
    <w:rsid w:val="7A7C01D3"/>
    <w:rsid w:val="7A8A28F0"/>
    <w:rsid w:val="7AB10D7D"/>
    <w:rsid w:val="7AB23BF5"/>
    <w:rsid w:val="7AC93B5A"/>
    <w:rsid w:val="7AE703B4"/>
    <w:rsid w:val="7AEA7832"/>
    <w:rsid w:val="7AF10BC1"/>
    <w:rsid w:val="7AFB37ED"/>
    <w:rsid w:val="7B046B46"/>
    <w:rsid w:val="7B0524D0"/>
    <w:rsid w:val="7B0E1773"/>
    <w:rsid w:val="7B1430A3"/>
    <w:rsid w:val="7B14665D"/>
    <w:rsid w:val="7B38178B"/>
    <w:rsid w:val="7B437FDF"/>
    <w:rsid w:val="7B4A6771"/>
    <w:rsid w:val="7B5A49B8"/>
    <w:rsid w:val="7B5D1DB2"/>
    <w:rsid w:val="7B7A4B87"/>
    <w:rsid w:val="7B7F7F7B"/>
    <w:rsid w:val="7B8D45CE"/>
    <w:rsid w:val="7BA14395"/>
    <w:rsid w:val="7BA173A7"/>
    <w:rsid w:val="7BAD5C84"/>
    <w:rsid w:val="7BBA7205"/>
    <w:rsid w:val="7BC40083"/>
    <w:rsid w:val="7BC736D0"/>
    <w:rsid w:val="7BD847BF"/>
    <w:rsid w:val="7C0148BF"/>
    <w:rsid w:val="7C122B9D"/>
    <w:rsid w:val="7C160BD8"/>
    <w:rsid w:val="7C2D0A4B"/>
    <w:rsid w:val="7C3A3F69"/>
    <w:rsid w:val="7C46392A"/>
    <w:rsid w:val="7C4A4A2C"/>
    <w:rsid w:val="7C662EE9"/>
    <w:rsid w:val="7C6F4493"/>
    <w:rsid w:val="7C782BF4"/>
    <w:rsid w:val="7C82288D"/>
    <w:rsid w:val="7C905525"/>
    <w:rsid w:val="7CA103C5"/>
    <w:rsid w:val="7CC04CEF"/>
    <w:rsid w:val="7CC3640F"/>
    <w:rsid w:val="7CCD1155"/>
    <w:rsid w:val="7CD10CAA"/>
    <w:rsid w:val="7CDD7957"/>
    <w:rsid w:val="7CDE0284"/>
    <w:rsid w:val="7CE24C65"/>
    <w:rsid w:val="7CEC1640"/>
    <w:rsid w:val="7CF36E72"/>
    <w:rsid w:val="7CF77FE5"/>
    <w:rsid w:val="7CF90201"/>
    <w:rsid w:val="7CF91FAF"/>
    <w:rsid w:val="7D000A0B"/>
    <w:rsid w:val="7D006E99"/>
    <w:rsid w:val="7D133070"/>
    <w:rsid w:val="7D1666BD"/>
    <w:rsid w:val="7D1D3EEF"/>
    <w:rsid w:val="7D254B52"/>
    <w:rsid w:val="7D2C4132"/>
    <w:rsid w:val="7D3704A9"/>
    <w:rsid w:val="7D3B6123"/>
    <w:rsid w:val="7D40373A"/>
    <w:rsid w:val="7D515947"/>
    <w:rsid w:val="7D5D6CBD"/>
    <w:rsid w:val="7D697134"/>
    <w:rsid w:val="7D6C7EFD"/>
    <w:rsid w:val="7D6E02A7"/>
    <w:rsid w:val="7D6F68C2"/>
    <w:rsid w:val="7D836108"/>
    <w:rsid w:val="7D8555F0"/>
    <w:rsid w:val="7DA00FED"/>
    <w:rsid w:val="7DA939D5"/>
    <w:rsid w:val="7DAA32A9"/>
    <w:rsid w:val="7DBA173E"/>
    <w:rsid w:val="7DDC406E"/>
    <w:rsid w:val="7DE63A7B"/>
    <w:rsid w:val="7DEB18F7"/>
    <w:rsid w:val="7DF60F6D"/>
    <w:rsid w:val="7E022068"/>
    <w:rsid w:val="7E0806FB"/>
    <w:rsid w:val="7E105802"/>
    <w:rsid w:val="7E2117BD"/>
    <w:rsid w:val="7E3C0043"/>
    <w:rsid w:val="7E4D4360"/>
    <w:rsid w:val="7E617E0B"/>
    <w:rsid w:val="7E631DD5"/>
    <w:rsid w:val="7E71728C"/>
    <w:rsid w:val="7E8F4979"/>
    <w:rsid w:val="7E94162E"/>
    <w:rsid w:val="7E960E10"/>
    <w:rsid w:val="7E9B156F"/>
    <w:rsid w:val="7EC00FD6"/>
    <w:rsid w:val="7EC157FB"/>
    <w:rsid w:val="7ED122C0"/>
    <w:rsid w:val="7ED610B1"/>
    <w:rsid w:val="7ED9057B"/>
    <w:rsid w:val="7EE12CFA"/>
    <w:rsid w:val="7EEF3669"/>
    <w:rsid w:val="7EF04B10"/>
    <w:rsid w:val="7EF86055"/>
    <w:rsid w:val="7EFE1AFE"/>
    <w:rsid w:val="7F0A2251"/>
    <w:rsid w:val="7F0D2891"/>
    <w:rsid w:val="7F1906E6"/>
    <w:rsid w:val="7F212F6F"/>
    <w:rsid w:val="7F3834E8"/>
    <w:rsid w:val="7F3948E4"/>
    <w:rsid w:val="7F460DAF"/>
    <w:rsid w:val="7F475253"/>
    <w:rsid w:val="7F4B3971"/>
    <w:rsid w:val="7F533BF8"/>
    <w:rsid w:val="7F573E39"/>
    <w:rsid w:val="7F792F33"/>
    <w:rsid w:val="7F7B4EFD"/>
    <w:rsid w:val="7F7F056B"/>
    <w:rsid w:val="7F8A7363"/>
    <w:rsid w:val="7F924353"/>
    <w:rsid w:val="7F9A24D6"/>
    <w:rsid w:val="7FAE52D2"/>
    <w:rsid w:val="7FBE4DEA"/>
    <w:rsid w:val="7FCE327F"/>
    <w:rsid w:val="7FD0349B"/>
    <w:rsid w:val="7FF806CF"/>
    <w:rsid w:val="7FFD4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20" w:after="240"/>
      <w:jc w:val="both"/>
    </w:pPr>
    <w:rPr>
      <w:rFonts w:asciiTheme="minorHAnsi" w:hAnsiTheme="minorHAnsi" w:eastAsiaTheme="minorEastAsia" w:cstheme="minorBidi"/>
      <w:sz w:val="22"/>
      <w:szCs w:val="22"/>
      <w:lang w:val="ru-RU"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widowControl w:val="0"/>
      <w:spacing w:before="260" w:after="260" w:line="415" w:lineRule="auto"/>
      <w:outlineLvl w:val="1"/>
    </w:pPr>
    <w:rPr>
      <w:rFonts w:ascii="Arial" w:hAnsi="Arial" w:eastAsia="黑体"/>
      <w:b/>
      <w:bCs/>
      <w:sz w:val="32"/>
      <w:szCs w:val="32"/>
    </w:rPr>
  </w:style>
  <w:style w:type="paragraph" w:styleId="6">
    <w:name w:val="heading 3"/>
    <w:basedOn w:val="1"/>
    <w:next w:val="1"/>
    <w:qFormat/>
    <w:uiPriority w:val="0"/>
    <w:pPr>
      <w:keepNext/>
      <w:keepLines/>
      <w:spacing w:before="0" w:after="0"/>
      <w:ind w:left="560"/>
      <w:outlineLvl w:val="2"/>
    </w:pPr>
    <w:rPr>
      <w:b/>
      <w:sz w:val="20"/>
      <w:szCs w:val="28"/>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99"/>
    <w:pPr>
      <w:spacing w:line="500" w:lineRule="exact"/>
      <w:ind w:firstLine="420" w:firstLineChars="200"/>
    </w:pPr>
    <w:rPr>
      <w:sz w:val="28"/>
    </w:rPr>
  </w:style>
  <w:style w:type="paragraph" w:styleId="3">
    <w:name w:val="Body Text Indent"/>
    <w:basedOn w:val="1"/>
    <w:qFormat/>
    <w:uiPriority w:val="99"/>
    <w:pPr>
      <w:ind w:left="480"/>
    </w:pPr>
    <w:rPr>
      <w:sz w:val="24"/>
    </w:rPr>
  </w:style>
  <w:style w:type="paragraph" w:styleId="8">
    <w:name w:val="Normal Indent"/>
    <w:basedOn w:val="1"/>
    <w:qFormat/>
    <w:uiPriority w:val="0"/>
    <w:pPr>
      <w:spacing w:line="420" w:lineRule="exact"/>
      <w:ind w:firstLine="200" w:firstLineChars="200"/>
    </w:pPr>
    <w:rPr>
      <w:rFonts w:ascii="黑体" w:hAnsi="Calibri" w:eastAsia="黑体" w:cs="Times New Roman"/>
      <w:sz w:val="28"/>
    </w:rPr>
  </w:style>
  <w:style w:type="paragraph" w:styleId="9">
    <w:name w:val="annotation text"/>
    <w:basedOn w:val="1"/>
    <w:qFormat/>
    <w:uiPriority w:val="0"/>
    <w:pPr>
      <w:jc w:val="left"/>
    </w:pPr>
  </w:style>
  <w:style w:type="paragraph" w:styleId="10">
    <w:name w:val="Body Text"/>
    <w:basedOn w:val="1"/>
    <w:next w:val="11"/>
    <w:qFormat/>
    <w:uiPriority w:val="99"/>
    <w:rPr>
      <w:sz w:val="24"/>
    </w:rPr>
  </w:style>
  <w:style w:type="paragraph" w:styleId="11">
    <w:name w:val="Date"/>
    <w:basedOn w:val="1"/>
    <w:next w:val="1"/>
    <w:qFormat/>
    <w:uiPriority w:val="99"/>
    <w:rPr>
      <w:rFonts w:ascii="仿宋_GB2312" w:eastAsia="仿宋_GB2312"/>
      <w:sz w:val="30"/>
      <w:lang w:bidi="he-IL"/>
    </w:rPr>
  </w:style>
  <w:style w:type="paragraph" w:styleId="12">
    <w:name w:val="toc 3"/>
    <w:basedOn w:val="1"/>
    <w:next w:val="1"/>
    <w:qFormat/>
    <w:uiPriority w:val="0"/>
    <w:pPr>
      <w:ind w:left="840" w:leftChars="400"/>
    </w:pPr>
  </w:style>
  <w:style w:type="paragraph" w:styleId="13">
    <w:name w:val="Plain Text"/>
    <w:basedOn w:val="1"/>
    <w:qFormat/>
    <w:uiPriority w:val="0"/>
    <w:rPr>
      <w:rFonts w:ascii="宋体" w:hAnsi="Courier New"/>
      <w:szCs w:val="20"/>
    </w:rPr>
  </w:style>
  <w:style w:type="paragraph" w:styleId="14">
    <w:name w:val="footer"/>
    <w:basedOn w:val="1"/>
    <w:qFormat/>
    <w:uiPriority w:val="0"/>
    <w:pPr>
      <w:tabs>
        <w:tab w:val="center" w:pos="4153"/>
        <w:tab w:val="right" w:pos="8306"/>
      </w:tabs>
      <w:snapToGrid w:val="0"/>
      <w:jc w:val="left"/>
    </w:pPr>
    <w:rPr>
      <w:sz w:val="18"/>
    </w:rPr>
  </w:style>
  <w:style w:type="paragraph" w:styleId="15">
    <w:name w:val="envelope return"/>
    <w:basedOn w:val="1"/>
    <w:next w:val="3"/>
    <w:qFormat/>
    <w:uiPriority w:val="99"/>
    <w:pPr>
      <w:snapToGrid w:val="0"/>
    </w:pPr>
    <w:rPr>
      <w:rFonts w:ascii="Arial" w:hAnsi="Arial"/>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style>
  <w:style w:type="paragraph" w:styleId="18">
    <w:name w:val="toc 2"/>
    <w:basedOn w:val="1"/>
    <w:next w:val="1"/>
    <w:qFormat/>
    <w:uiPriority w:val="0"/>
    <w:pPr>
      <w:ind w:left="420" w:leftChars="200"/>
    </w:pPr>
  </w:style>
  <w:style w:type="paragraph" w:styleId="19">
    <w:name w:val="Normal (Web)"/>
    <w:basedOn w:val="1"/>
    <w:qFormat/>
    <w:uiPriority w:val="0"/>
    <w:rPr>
      <w:sz w:val="24"/>
    </w:rPr>
  </w:style>
  <w:style w:type="paragraph" w:styleId="20">
    <w:name w:val="Body Text First Indent"/>
    <w:basedOn w:val="10"/>
    <w:qFormat/>
    <w:uiPriority w:val="0"/>
    <w:pPr>
      <w:ind w:firstLine="420" w:firstLineChars="100"/>
    </w:pPr>
    <w:rPr>
      <w:rFonts w:ascii="楷体_GB2312" w:eastAsia="楷体_GB2312"/>
      <w:color w:val="FF0000"/>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basedOn w:val="23"/>
    <w:qFormat/>
    <w:uiPriority w:val="0"/>
  </w:style>
  <w:style w:type="character" w:styleId="26">
    <w:name w:val="Hyperlink"/>
    <w:basedOn w:val="23"/>
    <w:qFormat/>
    <w:uiPriority w:val="0"/>
    <w:rPr>
      <w:color w:val="0000FF"/>
      <w:u w:val="single"/>
    </w:rPr>
  </w:style>
  <w:style w:type="character" w:styleId="27">
    <w:name w:val="annotation reference"/>
    <w:basedOn w:val="23"/>
    <w:qFormat/>
    <w:uiPriority w:val="0"/>
    <w:rPr>
      <w:sz w:val="21"/>
      <w:szCs w:val="21"/>
    </w:rPr>
  </w:style>
  <w:style w:type="paragraph" w:customStyle="1" w:styleId="28">
    <w:name w:val="目录 71"/>
    <w:basedOn w:val="1"/>
    <w:next w:val="1"/>
    <w:qFormat/>
    <w:uiPriority w:val="0"/>
    <w:pPr>
      <w:ind w:left="2520"/>
    </w:pPr>
    <w:rPr>
      <w:rFonts w:ascii="Calibri" w:hAnsi="Calibri"/>
    </w:rPr>
  </w:style>
  <w:style w:type="paragraph" w:customStyle="1" w:styleId="29">
    <w:name w:val="正文 A"/>
    <w:qFormat/>
    <w:uiPriority w:val="0"/>
    <w:pPr>
      <w:framePr w:wrap="around" w:vAnchor="margin" w:hAnchor="text" w:y="1"/>
      <w:widowControl w:val="0"/>
      <w:jc w:val="both"/>
    </w:pPr>
    <w:rPr>
      <w:rFonts w:ascii="Times New Roman" w:hAnsi="Times New Roman" w:eastAsia="Times New Roman" w:cs="Times New Roman"/>
      <w:color w:val="000000"/>
      <w:kern w:val="2"/>
      <w:sz w:val="28"/>
      <w:szCs w:val="28"/>
      <w:u w:color="000000"/>
      <w:lang w:val="en-US" w:eastAsia="zh-CN" w:bidi="ar-SA"/>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Body text|1"/>
    <w:basedOn w:val="1"/>
    <w:qFormat/>
    <w:uiPriority w:val="99"/>
    <w:pPr>
      <w:spacing w:line="430" w:lineRule="auto"/>
      <w:ind w:firstLine="400"/>
    </w:pPr>
    <w:rPr>
      <w:rFonts w:ascii="宋体" w:hAnsi="宋体" w:cs="宋体"/>
      <w:lang w:val="zh-TW" w:eastAsia="zh-TW"/>
    </w:rPr>
  </w:style>
  <w:style w:type="paragraph" w:customStyle="1" w:styleId="32">
    <w:name w:val="No Spacing1"/>
    <w:basedOn w:val="1"/>
    <w:qFormat/>
    <w:uiPriority w:val="99"/>
    <w:pPr>
      <w:spacing w:line="400" w:lineRule="exact"/>
    </w:pPr>
    <w:rPr>
      <w:sz w:val="24"/>
      <w:szCs w:val="24"/>
    </w:rPr>
  </w:style>
  <w:style w:type="paragraph" w:customStyle="1" w:styleId="33">
    <w:name w:val="Default"/>
    <w:qFormat/>
    <w:uiPriority w:val="99"/>
    <w:pPr>
      <w:widowControl w:val="0"/>
      <w:autoSpaceDE w:val="0"/>
      <w:autoSpaceDN w:val="0"/>
      <w:adjustRightInd w:val="0"/>
    </w:pPr>
    <w:rPr>
      <w:rFonts w:ascii="黑体" w:hAnsi="Times New Roman" w:eastAsia="黑体" w:cs="Times New Roman"/>
      <w:lang w:val="en-US" w:eastAsia="zh-CN" w:bidi="ar-SA"/>
    </w:rPr>
  </w:style>
  <w:style w:type="paragraph" w:styleId="34">
    <w:name w:val="List Paragraph"/>
    <w:basedOn w:val="1"/>
    <w:qFormat/>
    <w:uiPriority w:val="0"/>
    <w:pPr>
      <w:ind w:firstLine="420" w:firstLineChars="200"/>
    </w:pPr>
    <w:rPr>
      <w:rFonts w:ascii="Calibri" w:hAnsi="Calibri" w:eastAsia="宋体" w:cs="Times New Roman"/>
      <w:kern w:val="2"/>
      <w:sz w:val="21"/>
    </w:rPr>
  </w:style>
  <w:style w:type="paragraph" w:customStyle="1" w:styleId="35">
    <w:name w:val="Other|1"/>
    <w:basedOn w:val="1"/>
    <w:qFormat/>
    <w:uiPriority w:val="99"/>
    <w:pPr>
      <w:spacing w:line="430" w:lineRule="auto"/>
      <w:ind w:firstLine="400"/>
    </w:pPr>
    <w:rPr>
      <w:rFonts w:ascii="宋体" w:hAnsi="宋体" w:cs="宋体"/>
      <w:lang w:val="zh-TW" w:eastAsia="zh-TW"/>
    </w:rPr>
  </w:style>
  <w:style w:type="paragraph" w:customStyle="1" w:styleId="36">
    <w:name w:val="页脚1"/>
    <w:basedOn w:val="1"/>
    <w:qFormat/>
    <w:uiPriority w:val="0"/>
    <w:pPr>
      <w:tabs>
        <w:tab w:val="center" w:pos="4153"/>
        <w:tab w:val="right" w:pos="8306"/>
      </w:tabs>
      <w:snapToGrid w:val="0"/>
      <w:jc w:val="left"/>
    </w:pPr>
    <w:rPr>
      <w:sz w:val="18"/>
      <w:szCs w:val="18"/>
    </w:rPr>
  </w:style>
  <w:style w:type="paragraph" w:customStyle="1" w:styleId="37">
    <w:name w:val="Table Text"/>
    <w:basedOn w:val="1"/>
    <w:semiHidden/>
    <w:qFormat/>
    <w:uiPriority w:val="0"/>
    <w:rPr>
      <w:rFonts w:ascii="宋体" w:hAnsi="宋体" w:eastAsia="宋体" w:cs="宋体"/>
      <w:sz w:val="24"/>
      <w:szCs w:val="24"/>
      <w:lang w:val="en-US" w:eastAsia="en-US"/>
    </w:rPr>
  </w:style>
  <w:style w:type="character" w:customStyle="1" w:styleId="38">
    <w:name w:val="textcontents"/>
    <w:qFormat/>
    <w:uiPriority w:val="0"/>
    <w:rPr>
      <w:kern w:val="2"/>
      <w:sz w:val="21"/>
      <w:szCs w:val="24"/>
      <w:lang w:val="en-US" w:eastAsia="zh-CN" w:bidi="ar-SA"/>
    </w:rPr>
  </w:style>
  <w:style w:type="table" w:customStyle="1" w:styleId="39">
    <w:name w:val="Table Normal"/>
    <w:semiHidden/>
    <w:unhideWhenUsed/>
    <w:qFormat/>
    <w:uiPriority w:val="0"/>
    <w:tblPr>
      <w:tblCellMar>
        <w:top w:w="0" w:type="dxa"/>
        <w:left w:w="0" w:type="dxa"/>
        <w:bottom w:w="0" w:type="dxa"/>
        <w:right w:w="0" w:type="dxa"/>
      </w:tblCellMar>
    </w:tblPr>
  </w:style>
  <w:style w:type="paragraph" w:customStyle="1" w:styleId="4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2">
    <w:name w:val="xl27"/>
    <w:basedOn w:val="1"/>
    <w:next w:val="43"/>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sz w:val="18"/>
      <w:szCs w:val="18"/>
    </w:rPr>
  </w:style>
  <w:style w:type="paragraph" w:customStyle="1" w:styleId="43">
    <w:name w:val="A正文"/>
    <w:basedOn w:val="1"/>
    <w:unhideWhenUsed/>
    <w:qFormat/>
    <w:uiPriority w:val="0"/>
    <w:pPr>
      <w:ind w:firstLine="480"/>
    </w:pPr>
    <w:rPr>
      <w:rFonts w:hint="eastAsia" w:hAnsi="宋体"/>
      <w:sz w:val="24"/>
      <w:szCs w:val="24"/>
    </w:rPr>
  </w:style>
  <w:style w:type="character" w:customStyle="1" w:styleId="44">
    <w:name w:val="font51"/>
    <w:basedOn w:val="23"/>
    <w:qFormat/>
    <w:uiPriority w:val="0"/>
    <w:rPr>
      <w:rFonts w:hint="eastAsia" w:ascii="宋体" w:hAnsi="宋体" w:eastAsia="宋体" w:cs="宋体"/>
      <w:color w:val="000000"/>
      <w:sz w:val="18"/>
      <w:szCs w:val="18"/>
      <w:u w:val="none"/>
    </w:rPr>
  </w:style>
  <w:style w:type="character" w:customStyle="1" w:styleId="45">
    <w:name w:val="font21"/>
    <w:basedOn w:val="23"/>
    <w:qFormat/>
    <w:uiPriority w:val="0"/>
    <w:rPr>
      <w:rFonts w:hint="eastAsia" w:ascii="宋体" w:hAnsi="宋体" w:eastAsia="宋体" w:cs="宋体"/>
      <w:color w:val="000000"/>
      <w:sz w:val="18"/>
      <w:szCs w:val="18"/>
      <w:u w:val="none"/>
    </w:rPr>
  </w:style>
  <w:style w:type="character" w:customStyle="1" w:styleId="46">
    <w:name w:val="font31"/>
    <w:basedOn w:val="23"/>
    <w:qFormat/>
    <w:uiPriority w:val="0"/>
    <w:rPr>
      <w:rFonts w:hint="eastAsia" w:ascii="微软雅黑" w:hAnsi="微软雅黑" w:eastAsia="微软雅黑" w:cs="微软雅黑"/>
      <w:color w:val="000000"/>
      <w:sz w:val="20"/>
      <w:szCs w:val="20"/>
      <w:u w:val="none"/>
    </w:rPr>
  </w:style>
  <w:style w:type="character" w:customStyle="1" w:styleId="47">
    <w:name w:val="font61"/>
    <w:basedOn w:val="23"/>
    <w:qFormat/>
    <w:uiPriority w:val="0"/>
    <w:rPr>
      <w:rFonts w:hint="eastAsia" w:ascii="微软雅黑" w:hAnsi="微软雅黑" w:eastAsia="微软雅黑" w:cs="微软雅黑"/>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2.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923</Words>
  <Characters>994</Characters>
  <Lines>167</Lines>
  <Paragraphs>47</Paragraphs>
  <TotalTime>461</TotalTime>
  <ScaleCrop>false</ScaleCrop>
  <LinksUpToDate>false</LinksUpToDate>
  <CharactersWithSpaces>1051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2024-05-29T08:07:00Z</dcterms:created>
  <dc:creator>Administrator</dc:creator>
  <cp:lastModifiedBy>芳菲</cp:lastModifiedBy>
  <dcterms:modified xsi:type="dcterms:W3CDTF">2026-07-24T03:14:04Z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1A5FA9D85B1D4749A428363098740596_13</vt:lpwstr>
  </property>
  <property fmtid="{D5CDD505-2E9C-101B-9397-08002B2CF9AE}" pid="4" name="KSOTemplateDocerSaveRecord">
    <vt:lpwstr>eyJoZGlkIjoiNDIwMDkxOTY2YzY3Y2RiZDdhODFjYjM5YWI4ZjZiMjUiLCJ1c2VySWQiOiI5MzMyOTM5MjkifQ==</vt:lpwstr>
  </property>
</Properties>
</file>