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91DCF5">
      <w:pPr>
        <w:pStyle w:val="3"/>
        <w:keepNext w:val="0"/>
        <w:keepLines w:val="0"/>
        <w:pageBreakBefore w:val="0"/>
        <w:widowControl w:val="0"/>
        <w:kinsoku w:val="0"/>
        <w:wordWrap/>
        <w:overflowPunct w:val="0"/>
        <w:topLinePunct w:val="0"/>
        <w:autoSpaceDE/>
        <w:autoSpaceDN/>
        <w:bidi w:val="0"/>
        <w:adjustRightInd/>
        <w:snapToGrid/>
        <w:spacing w:line="600" w:lineRule="auto"/>
        <w:ind w:firstLine="641"/>
        <w:jc w:val="center"/>
        <w:textAlignment w:val="auto"/>
        <w:rPr>
          <w:rFonts w:hint="eastAsia" w:ascii="黑体" w:hAnsi="黑体" w:eastAsia="黑体" w:cs="黑体"/>
          <w:b w:val="0"/>
          <w:bCs w:val="0"/>
          <w:sz w:val="36"/>
          <w:szCs w:val="36"/>
          <w:lang w:val="en-US" w:eastAsia="zh-CN"/>
        </w:rPr>
      </w:pPr>
      <w:r>
        <w:rPr>
          <w:rFonts w:hint="eastAsia" w:ascii="黑体" w:hAnsi="黑体" w:eastAsia="黑体" w:cs="黑体"/>
          <w:b w:val="0"/>
          <w:bCs w:val="0"/>
          <w:sz w:val="36"/>
          <w:szCs w:val="36"/>
        </w:rPr>
        <w:t>淮北矿业</w:t>
      </w:r>
      <w:r>
        <w:rPr>
          <w:rFonts w:hint="eastAsia" w:ascii="黑体" w:hAnsi="黑体" w:eastAsia="黑体" w:cs="黑体"/>
          <w:b w:val="0"/>
          <w:bCs w:val="0"/>
          <w:sz w:val="36"/>
          <w:szCs w:val="36"/>
          <w:lang w:val="en-US" w:eastAsia="zh-CN"/>
        </w:rPr>
        <w:t>股份有限公司</w:t>
      </w:r>
    </w:p>
    <w:p w14:paraId="02062351">
      <w:pPr>
        <w:pStyle w:val="3"/>
        <w:keepNext w:val="0"/>
        <w:keepLines w:val="0"/>
        <w:pageBreakBefore w:val="0"/>
        <w:widowControl w:val="0"/>
        <w:kinsoku w:val="0"/>
        <w:wordWrap/>
        <w:overflowPunct w:val="0"/>
        <w:topLinePunct w:val="0"/>
        <w:autoSpaceDE/>
        <w:autoSpaceDN/>
        <w:bidi w:val="0"/>
        <w:adjustRightInd/>
        <w:snapToGrid/>
        <w:spacing w:line="600" w:lineRule="auto"/>
        <w:ind w:firstLine="641"/>
        <w:jc w:val="center"/>
        <w:textAlignment w:val="auto"/>
        <w:rPr>
          <w:rFonts w:hint="default" w:ascii="黑体" w:hAnsi="黑体" w:eastAsia="黑体" w:cs="黑体"/>
          <w:b w:val="0"/>
          <w:bCs w:val="0"/>
          <w:sz w:val="36"/>
          <w:szCs w:val="36"/>
          <w:lang w:val="en-US" w:eastAsia="zh-CN"/>
        </w:rPr>
      </w:pPr>
      <w:r>
        <w:rPr>
          <w:rFonts w:hint="eastAsia" w:ascii="黑体" w:hAnsi="黑体" w:eastAsia="黑体" w:cs="黑体"/>
          <w:b w:val="0"/>
          <w:bCs w:val="0"/>
          <w:sz w:val="36"/>
          <w:szCs w:val="36"/>
        </w:rPr>
        <w:t>2026年运输带（一）（橡胶面整芯阻燃输送带1000S）</w:t>
      </w:r>
    </w:p>
    <w:p w14:paraId="31306EF8">
      <w:pPr>
        <w:pStyle w:val="3"/>
        <w:keepNext w:val="0"/>
        <w:keepLines w:val="0"/>
        <w:pageBreakBefore w:val="0"/>
        <w:widowControl w:val="0"/>
        <w:kinsoku w:val="0"/>
        <w:wordWrap/>
        <w:overflowPunct w:val="0"/>
        <w:topLinePunct w:val="0"/>
        <w:autoSpaceDE/>
        <w:autoSpaceDN/>
        <w:bidi w:val="0"/>
        <w:adjustRightInd/>
        <w:snapToGrid/>
        <w:spacing w:line="600" w:lineRule="auto"/>
        <w:ind w:firstLine="641"/>
        <w:jc w:val="center"/>
        <w:textAlignment w:val="auto"/>
        <w:rPr>
          <w:rFonts w:hint="eastAsia" w:ascii="黑体" w:hAnsi="黑体" w:eastAsia="黑体" w:cs="黑体"/>
          <w:b w:val="0"/>
          <w:bCs w:val="0"/>
          <w:sz w:val="36"/>
          <w:szCs w:val="36"/>
        </w:rPr>
      </w:pPr>
      <w:r>
        <w:rPr>
          <w:rFonts w:hint="eastAsia" w:ascii="黑体" w:hAnsi="黑体" w:eastAsia="黑体" w:cs="黑体"/>
          <w:b w:val="0"/>
          <w:bCs w:val="0"/>
          <w:sz w:val="36"/>
          <w:szCs w:val="36"/>
          <w:lang w:val="en-US" w:eastAsia="zh-CN"/>
        </w:rPr>
        <w:t>采购</w:t>
      </w:r>
      <w:r>
        <w:rPr>
          <w:rFonts w:hint="eastAsia" w:ascii="黑体" w:hAnsi="黑体" w:eastAsia="黑体" w:cs="黑体"/>
          <w:b w:val="0"/>
          <w:bCs w:val="0"/>
          <w:sz w:val="36"/>
          <w:szCs w:val="36"/>
        </w:rPr>
        <w:t>技术规格书</w:t>
      </w:r>
    </w:p>
    <w:p w14:paraId="351D0AA9">
      <w:pPr>
        <w:spacing w:line="560" w:lineRule="exact"/>
        <w:jc w:val="center"/>
        <w:rPr>
          <w:rFonts w:hint="eastAsia" w:ascii="Calibri" w:hAnsi="Calibri"/>
          <w:sz w:val="44"/>
          <w:szCs w:val="44"/>
        </w:rPr>
      </w:pPr>
    </w:p>
    <w:p w14:paraId="475505BA">
      <w:pPr>
        <w:spacing w:line="560" w:lineRule="exact"/>
        <w:rPr>
          <w:rFonts w:hint="eastAsia"/>
          <w:sz w:val="44"/>
          <w:szCs w:val="44"/>
        </w:rPr>
      </w:pPr>
    </w:p>
    <w:p w14:paraId="4D1D38D8">
      <w:pPr>
        <w:spacing w:line="560" w:lineRule="exact"/>
        <w:rPr>
          <w:rFonts w:hint="eastAsia"/>
          <w:sz w:val="44"/>
          <w:szCs w:val="44"/>
        </w:rPr>
      </w:pPr>
    </w:p>
    <w:p w14:paraId="6D0376F2">
      <w:pPr>
        <w:spacing w:line="560" w:lineRule="exact"/>
        <w:rPr>
          <w:rFonts w:hint="eastAsia"/>
          <w:sz w:val="44"/>
          <w:szCs w:val="44"/>
        </w:rPr>
      </w:pPr>
    </w:p>
    <w:p w14:paraId="0281B94C">
      <w:pPr>
        <w:spacing w:line="560" w:lineRule="exact"/>
        <w:rPr>
          <w:rFonts w:hint="eastAsia"/>
          <w:sz w:val="44"/>
          <w:szCs w:val="44"/>
        </w:rPr>
      </w:pPr>
    </w:p>
    <w:p w14:paraId="7603E68C">
      <w:pPr>
        <w:spacing w:line="560" w:lineRule="exact"/>
        <w:rPr>
          <w:rFonts w:hint="eastAsia"/>
          <w:sz w:val="44"/>
          <w:szCs w:val="44"/>
        </w:rPr>
      </w:pPr>
    </w:p>
    <w:p w14:paraId="33D81527">
      <w:pPr>
        <w:spacing w:line="560" w:lineRule="exact"/>
        <w:rPr>
          <w:rFonts w:hint="eastAsia"/>
          <w:sz w:val="44"/>
          <w:szCs w:val="44"/>
        </w:rPr>
      </w:pPr>
    </w:p>
    <w:p w14:paraId="5927651E">
      <w:pPr>
        <w:spacing w:line="560" w:lineRule="exact"/>
        <w:ind w:firstLine="640" w:firstLineChars="200"/>
        <w:jc w:val="both"/>
        <w:rPr>
          <w:rFonts w:hint="eastAsia"/>
          <w:sz w:val="32"/>
          <w:szCs w:val="32"/>
        </w:rPr>
      </w:pPr>
    </w:p>
    <w:p w14:paraId="31E17B44">
      <w:pPr>
        <w:keepNext w:val="0"/>
        <w:keepLines w:val="0"/>
        <w:pageBreakBefore w:val="0"/>
        <w:widowControl w:val="0"/>
        <w:kinsoku/>
        <w:wordWrap/>
        <w:overflowPunct/>
        <w:topLinePunct w:val="0"/>
        <w:autoSpaceDE/>
        <w:autoSpaceDN/>
        <w:bidi w:val="0"/>
        <w:adjustRightInd/>
        <w:snapToGrid/>
        <w:spacing w:line="720" w:lineRule="auto"/>
        <w:ind w:firstLine="3520" w:firstLineChars="1100"/>
        <w:jc w:val="both"/>
        <w:textAlignment w:val="auto"/>
        <w:rPr>
          <w:rFonts w:hint="eastAsia"/>
          <w:sz w:val="32"/>
          <w:szCs w:val="32"/>
        </w:rPr>
      </w:pPr>
      <w:r>
        <w:rPr>
          <w:rFonts w:hint="eastAsia"/>
          <w:sz w:val="32"/>
          <w:szCs w:val="32"/>
        </w:rPr>
        <w:t>编制：</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rPr>
        <w:t xml:space="preserve"> </w:t>
      </w:r>
    </w:p>
    <w:p w14:paraId="04CB35E1">
      <w:pPr>
        <w:keepNext w:val="0"/>
        <w:keepLines w:val="0"/>
        <w:pageBreakBefore w:val="0"/>
        <w:widowControl w:val="0"/>
        <w:kinsoku/>
        <w:wordWrap/>
        <w:overflowPunct/>
        <w:topLinePunct w:val="0"/>
        <w:autoSpaceDE/>
        <w:autoSpaceDN/>
        <w:bidi w:val="0"/>
        <w:adjustRightInd/>
        <w:snapToGrid/>
        <w:spacing w:line="720" w:lineRule="auto"/>
        <w:ind w:firstLine="3520" w:firstLineChars="1100"/>
        <w:jc w:val="both"/>
        <w:textAlignment w:val="auto"/>
        <w:rPr>
          <w:rFonts w:hint="eastAsia"/>
          <w:sz w:val="32"/>
          <w:szCs w:val="32"/>
        </w:rPr>
      </w:pPr>
      <w:r>
        <w:rPr>
          <w:rFonts w:hint="eastAsia"/>
          <w:sz w:val="32"/>
          <w:szCs w:val="32"/>
        </w:rPr>
        <w:t>校对：</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rPr>
        <w:t xml:space="preserve"> </w:t>
      </w:r>
    </w:p>
    <w:p w14:paraId="71689379">
      <w:pPr>
        <w:keepNext w:val="0"/>
        <w:keepLines w:val="0"/>
        <w:pageBreakBefore w:val="0"/>
        <w:widowControl w:val="0"/>
        <w:kinsoku/>
        <w:wordWrap/>
        <w:overflowPunct/>
        <w:topLinePunct w:val="0"/>
        <w:autoSpaceDE/>
        <w:autoSpaceDN/>
        <w:bidi w:val="0"/>
        <w:adjustRightInd/>
        <w:snapToGrid/>
        <w:spacing w:line="720" w:lineRule="auto"/>
        <w:ind w:firstLine="3520" w:firstLineChars="1100"/>
        <w:jc w:val="both"/>
        <w:textAlignment w:val="auto"/>
        <w:rPr>
          <w:rFonts w:hint="default" w:eastAsia="宋体"/>
          <w:sz w:val="32"/>
          <w:szCs w:val="32"/>
          <w:lang w:val="en-US" w:eastAsia="zh-CN"/>
        </w:rPr>
      </w:pPr>
      <w:r>
        <w:rPr>
          <w:rFonts w:hint="eastAsia"/>
          <w:sz w:val="32"/>
          <w:szCs w:val="32"/>
        </w:rPr>
        <w:t>审批：</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rPr>
        <w:t xml:space="preserve"> </w:t>
      </w:r>
    </w:p>
    <w:p w14:paraId="0D1A77E6">
      <w:pPr>
        <w:spacing w:line="560" w:lineRule="exact"/>
        <w:jc w:val="center"/>
        <w:rPr>
          <w:rFonts w:hint="eastAsia"/>
          <w:sz w:val="32"/>
          <w:szCs w:val="32"/>
        </w:rPr>
      </w:pPr>
    </w:p>
    <w:p w14:paraId="6B50D310">
      <w:pPr>
        <w:spacing w:line="560" w:lineRule="exact"/>
        <w:jc w:val="center"/>
        <w:rPr>
          <w:rFonts w:hint="eastAsia" w:ascii="黑体" w:hAnsi="黑体" w:eastAsia="黑体" w:cs="黑体"/>
          <w:sz w:val="32"/>
          <w:szCs w:val="32"/>
        </w:rPr>
      </w:pPr>
    </w:p>
    <w:p w14:paraId="2CE3AD10">
      <w:pPr>
        <w:spacing w:line="560" w:lineRule="exact"/>
        <w:jc w:val="center"/>
        <w:rPr>
          <w:rFonts w:hint="eastAsia" w:ascii="黑体" w:hAnsi="黑体" w:eastAsia="黑体" w:cs="黑体"/>
          <w:sz w:val="32"/>
          <w:szCs w:val="32"/>
        </w:rPr>
      </w:pPr>
    </w:p>
    <w:p w14:paraId="00DAE20D">
      <w:pPr>
        <w:spacing w:line="560" w:lineRule="exact"/>
        <w:jc w:val="center"/>
        <w:rPr>
          <w:rFonts w:hint="eastAsia" w:ascii="黑体" w:hAnsi="黑体" w:eastAsia="黑体" w:cs="黑体"/>
          <w:sz w:val="32"/>
          <w:szCs w:val="32"/>
        </w:rPr>
      </w:pPr>
    </w:p>
    <w:p w14:paraId="0D91B07B">
      <w:pPr>
        <w:adjustRightInd w:val="0"/>
        <w:spacing w:line="560" w:lineRule="exact"/>
        <w:ind w:firstLine="640" w:firstLineChars="200"/>
        <w:jc w:val="center"/>
        <w:rPr>
          <w:rFonts w:hint="eastAsia" w:ascii="黑体" w:hAnsi="黑体" w:eastAsia="黑体" w:cs="黑体"/>
          <w:b/>
          <w:bCs/>
          <w:sz w:val="36"/>
          <w:szCs w:val="36"/>
        </w:rPr>
        <w:sectPr>
          <w:pgSz w:w="11906" w:h="16838"/>
          <w:pgMar w:top="1440" w:right="1080" w:bottom="1440" w:left="1080" w:header="851" w:footer="992" w:gutter="0"/>
          <w:cols w:space="425" w:num="1"/>
          <w:docGrid w:type="lines" w:linePitch="312" w:charSpace="0"/>
        </w:sectPr>
      </w:pPr>
      <w:r>
        <w:rPr>
          <w:rFonts w:hint="eastAsia" w:ascii="黑体" w:hAnsi="黑体" w:eastAsia="黑体" w:cs="黑体"/>
          <w:sz w:val="32"/>
          <w:szCs w:val="32"/>
        </w:rPr>
        <w:t>单位：</w:t>
      </w:r>
      <w:r>
        <w:rPr>
          <w:rFonts w:hint="eastAsia" w:ascii="黑体" w:hAnsi="黑体" w:eastAsia="黑体" w:cs="黑体"/>
          <w:sz w:val="32"/>
          <w:szCs w:val="32"/>
          <w:u w:val="single"/>
        </w:rPr>
        <w:t>淮北矿业股份有限公司</w:t>
      </w:r>
      <w:r>
        <w:rPr>
          <w:rFonts w:hint="eastAsia" w:ascii="黑体" w:hAnsi="黑体" w:eastAsia="黑体" w:cs="黑体"/>
          <w:sz w:val="32"/>
          <w:szCs w:val="32"/>
          <w:u w:val="single"/>
          <w:lang w:val="en-US" w:eastAsia="zh-CN"/>
        </w:rPr>
        <w:t>机电装备</w:t>
      </w:r>
      <w:r>
        <w:rPr>
          <w:rFonts w:hint="eastAsia" w:ascii="黑体" w:hAnsi="黑体" w:eastAsia="黑体" w:cs="黑体"/>
          <w:sz w:val="32"/>
          <w:szCs w:val="32"/>
          <w:u w:val="single"/>
        </w:rPr>
        <w:t>部</w:t>
      </w:r>
    </w:p>
    <w:p w14:paraId="0640C867">
      <w:pPr>
        <w:adjustRightInd w:val="0"/>
        <w:spacing w:line="560" w:lineRule="exact"/>
        <w:ind w:firstLine="723" w:firstLineChars="200"/>
        <w:jc w:val="center"/>
        <w:rPr>
          <w:rFonts w:ascii="宋体" w:hAnsi="宋体" w:cs="宋体"/>
          <w:b/>
          <w:sz w:val="36"/>
          <w:szCs w:val="36"/>
        </w:rPr>
      </w:pPr>
      <w:r>
        <w:rPr>
          <w:rFonts w:hint="eastAsia" w:ascii="宋体" w:hAnsi="宋体" w:cs="宋体"/>
          <w:b/>
          <w:sz w:val="36"/>
          <w:szCs w:val="36"/>
        </w:rPr>
        <w:t>淮北矿业</w:t>
      </w:r>
      <w:r>
        <w:rPr>
          <w:rFonts w:hint="eastAsia" w:ascii="宋体" w:hAnsi="宋体" w:cs="宋体"/>
          <w:b/>
          <w:sz w:val="36"/>
          <w:szCs w:val="36"/>
          <w:lang w:val="en-US" w:eastAsia="zh-CN"/>
        </w:rPr>
        <w:t>运输带（一）</w:t>
      </w:r>
      <w:r>
        <w:rPr>
          <w:rFonts w:hint="eastAsia" w:ascii="宋体" w:hAnsi="宋体" w:cs="宋体"/>
          <w:b/>
          <w:sz w:val="36"/>
          <w:szCs w:val="36"/>
        </w:rPr>
        <w:t>（橡胶面整芯阻燃输送带1000S）</w:t>
      </w:r>
    </w:p>
    <w:p w14:paraId="7464D982">
      <w:pPr>
        <w:adjustRightInd w:val="0"/>
        <w:spacing w:line="560" w:lineRule="exact"/>
        <w:ind w:firstLine="723" w:firstLineChars="200"/>
        <w:jc w:val="center"/>
        <w:rPr>
          <w:rFonts w:ascii="宋体" w:hAnsi="宋体" w:cs="宋体"/>
          <w:b/>
          <w:sz w:val="36"/>
          <w:szCs w:val="36"/>
        </w:rPr>
      </w:pPr>
      <w:r>
        <w:rPr>
          <w:rFonts w:hint="eastAsia" w:ascii="宋体" w:hAnsi="宋体" w:cs="宋体"/>
          <w:b/>
          <w:sz w:val="36"/>
          <w:szCs w:val="36"/>
          <w:lang w:val="en-US" w:eastAsia="zh-CN"/>
        </w:rPr>
        <w:t>采购</w:t>
      </w:r>
      <w:r>
        <w:rPr>
          <w:rFonts w:hint="eastAsia" w:ascii="宋体" w:hAnsi="宋体" w:cs="宋体"/>
          <w:b/>
          <w:sz w:val="36"/>
          <w:szCs w:val="36"/>
        </w:rPr>
        <w:t>技术规格书</w:t>
      </w:r>
    </w:p>
    <w:p w14:paraId="2801D02A">
      <w:pPr>
        <w:spacing w:line="560" w:lineRule="exact"/>
        <w:ind w:firstLine="640" w:firstLineChars="200"/>
        <w:rPr>
          <w:rFonts w:ascii="黑体" w:eastAsia="黑体"/>
          <w:sz w:val="32"/>
          <w:szCs w:val="32"/>
        </w:rPr>
      </w:pPr>
      <w:r>
        <w:rPr>
          <w:rFonts w:hint="eastAsia" w:ascii="黑体" w:eastAsia="黑体"/>
          <w:sz w:val="32"/>
          <w:szCs w:val="32"/>
        </w:rPr>
        <w:t>一、采购单位</w:t>
      </w:r>
    </w:p>
    <w:p w14:paraId="0DC842C3">
      <w:pPr>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淮北矿业股份有限公司</w:t>
      </w:r>
    </w:p>
    <w:p w14:paraId="2D7F3F0A">
      <w:pPr>
        <w:spacing w:line="560" w:lineRule="exact"/>
        <w:ind w:firstLine="640" w:firstLineChars="200"/>
        <w:rPr>
          <w:rFonts w:ascii="黑体" w:eastAsia="黑体"/>
          <w:sz w:val="32"/>
          <w:szCs w:val="32"/>
        </w:rPr>
      </w:pPr>
      <w:r>
        <w:rPr>
          <w:rFonts w:hint="eastAsia" w:ascii="黑体" w:eastAsia="黑体"/>
          <w:sz w:val="32"/>
          <w:szCs w:val="32"/>
          <w:lang w:val="en-US" w:eastAsia="zh-CN"/>
        </w:rPr>
        <w:t>二</w:t>
      </w:r>
      <w:r>
        <w:rPr>
          <w:rFonts w:hint="eastAsia" w:ascii="黑体" w:eastAsia="黑体"/>
          <w:sz w:val="32"/>
          <w:szCs w:val="32"/>
        </w:rPr>
        <w:t>、项目概况及招标范围</w:t>
      </w:r>
    </w:p>
    <w:p w14:paraId="6F8036A0">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1.项目概况：主要用于煤矿井下的煤碳、矸石输送。</w:t>
      </w:r>
    </w:p>
    <w:p w14:paraId="69D4AB77">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2.招标范围：</w:t>
      </w:r>
    </w:p>
    <w:p w14:paraId="625B3EB0">
      <w:pPr>
        <w:tabs>
          <w:tab w:val="left" w:pos="3270"/>
        </w:tabs>
        <w:ind w:firstLine="640" w:firstLineChars="200"/>
        <w:rPr>
          <w:rFonts w:hint="eastAsia" w:ascii="仿宋" w:hAnsi="仿宋" w:eastAsia="仿宋" w:cs="仿宋"/>
          <w:sz w:val="32"/>
          <w:szCs w:val="32"/>
        </w:rPr>
      </w:pPr>
      <w:r>
        <w:rPr>
          <w:rFonts w:hint="eastAsia" w:ascii="仿宋" w:hAnsi="仿宋" w:eastAsia="仿宋" w:cs="仿宋"/>
          <w:sz w:val="32"/>
          <w:szCs w:val="32"/>
        </w:rPr>
        <w:t>橡胶面整芯阻燃输送带（1000S)一批，具体内容详见招标明细。</w:t>
      </w:r>
    </w:p>
    <w:p w14:paraId="32725B50">
      <w:pPr>
        <w:numPr>
          <w:ilvl w:val="0"/>
          <w:numId w:val="0"/>
        </w:numPr>
        <w:spacing w:line="560" w:lineRule="exact"/>
        <w:ind w:firstLine="602" w:firstLineChars="200"/>
        <w:rPr>
          <w:rFonts w:hint="eastAsia" w:ascii="仿宋_GB2312" w:hAnsi="仿宋_GB2312" w:eastAsia="仿宋_GB2312" w:cs="仿宋_GB2312"/>
          <w:b/>
          <w:bCs/>
          <w:color w:val="auto"/>
          <w:kern w:val="2"/>
          <w:sz w:val="30"/>
          <w:szCs w:val="30"/>
          <w:lang w:val="en-US" w:eastAsia="zh-CN" w:bidi="ar-SA"/>
        </w:rPr>
      </w:pPr>
      <w:r>
        <w:rPr>
          <w:rFonts w:hint="eastAsia" w:ascii="仿宋_GB2312" w:hAnsi="仿宋_GB2312" w:eastAsia="仿宋_GB2312" w:cs="仿宋_GB2312"/>
          <w:b/>
          <w:bCs/>
          <w:color w:val="auto"/>
          <w:kern w:val="2"/>
          <w:sz w:val="30"/>
          <w:szCs w:val="30"/>
          <w:lang w:val="en-US" w:eastAsia="zh-CN" w:bidi="ar-SA"/>
        </w:rPr>
        <w:t>本项目为框架招标，招标所列数量仅作为报价和授标依据，采购数量以淮北矿业需求计划为准，采购单价以各品种中标单价为准，实行价格联动。以标段为单位签订合同，招标结果执行时间止或招标结果执行时间内送货单开具总金额达到中标总金额时，该标段采购自动终止。</w:t>
      </w:r>
      <w:bookmarkStart w:id="0" w:name="_GoBack"/>
      <w:bookmarkEnd w:id="0"/>
    </w:p>
    <w:p w14:paraId="5B96A723">
      <w:pPr>
        <w:numPr>
          <w:ilvl w:val="0"/>
          <w:numId w:val="0"/>
        </w:numPr>
        <w:spacing w:line="560" w:lineRule="exact"/>
        <w:ind w:firstLine="640" w:firstLineChars="200"/>
        <w:rPr>
          <w:rFonts w:ascii="黑体" w:eastAsia="黑体"/>
          <w:sz w:val="32"/>
          <w:szCs w:val="32"/>
        </w:rPr>
      </w:pPr>
      <w:r>
        <w:rPr>
          <w:rFonts w:hint="eastAsia" w:ascii="黑体" w:eastAsia="黑体"/>
          <w:sz w:val="32"/>
          <w:szCs w:val="32"/>
          <w:lang w:val="en-US" w:eastAsia="zh-CN"/>
        </w:rPr>
        <w:t>三、</w:t>
      </w:r>
      <w:r>
        <w:rPr>
          <w:rFonts w:hint="eastAsia" w:ascii="黑体" w:eastAsia="黑体"/>
          <w:sz w:val="32"/>
          <w:szCs w:val="32"/>
        </w:rPr>
        <w:t>技术要求及主要技术参数</w:t>
      </w:r>
    </w:p>
    <w:p w14:paraId="0CFEE9E9">
      <w:pPr>
        <w:tabs>
          <w:tab w:val="left" w:pos="3270"/>
        </w:tabs>
        <w:ind w:firstLine="643" w:firstLineChars="200"/>
        <w:rPr>
          <w:rFonts w:ascii="仿宋" w:hAnsi="仿宋" w:eastAsia="仿宋" w:cs="仿宋"/>
          <w:sz w:val="32"/>
          <w:szCs w:val="32"/>
        </w:rPr>
      </w:pPr>
      <w:r>
        <w:rPr>
          <w:rFonts w:hint="eastAsia" w:ascii="宋体" w:hAnsi="宋体" w:cs="宋体"/>
          <w:b/>
          <w:sz w:val="32"/>
          <w:szCs w:val="32"/>
        </w:rPr>
        <w:t>执行标准</w:t>
      </w:r>
      <w:r>
        <w:rPr>
          <w:rFonts w:hint="eastAsia" w:ascii="仿宋_GB2312" w:eastAsia="仿宋_GB2312"/>
          <w:b/>
          <w:sz w:val="28"/>
          <w:szCs w:val="28"/>
        </w:rPr>
        <w:t>：</w:t>
      </w:r>
      <w:r>
        <w:rPr>
          <w:rFonts w:hint="eastAsia" w:ascii="仿宋" w:hAnsi="仿宋" w:eastAsia="仿宋" w:cs="仿宋"/>
          <w:bCs/>
          <w:sz w:val="32"/>
          <w:szCs w:val="32"/>
        </w:rPr>
        <w:t>煤矿用织物整芯阻燃</w:t>
      </w:r>
      <w:r>
        <w:rPr>
          <w:rFonts w:hint="eastAsia" w:ascii="仿宋" w:hAnsi="仿宋" w:eastAsia="仿宋" w:cs="仿宋"/>
          <w:sz w:val="32"/>
          <w:szCs w:val="32"/>
        </w:rPr>
        <w:t>输送带必须执行MT/T914-2019煤炭行业标准。</w:t>
      </w:r>
    </w:p>
    <w:p w14:paraId="2F48B8B8">
      <w:pPr>
        <w:tabs>
          <w:tab w:val="left" w:pos="3270"/>
        </w:tabs>
        <w:ind w:firstLine="643" w:firstLineChars="200"/>
        <w:rPr>
          <w:rFonts w:ascii="宋体" w:hAnsi="宋体" w:cs="宋体"/>
          <w:b/>
          <w:bCs/>
          <w:kern w:val="1"/>
          <w:sz w:val="32"/>
          <w:szCs w:val="32"/>
        </w:rPr>
      </w:pPr>
      <w:r>
        <w:rPr>
          <w:rFonts w:hint="eastAsia" w:ascii="宋体" w:hAnsi="宋体" w:cs="宋体"/>
          <w:b/>
          <w:bCs/>
          <w:kern w:val="1"/>
          <w:sz w:val="32"/>
          <w:szCs w:val="32"/>
        </w:rPr>
        <w:t>主要技术参数：</w:t>
      </w:r>
    </w:p>
    <w:p w14:paraId="039FD626">
      <w:pPr>
        <w:tabs>
          <w:tab w:val="left" w:pos="3270"/>
        </w:tabs>
        <w:ind w:firstLine="640" w:firstLineChars="200"/>
        <w:rPr>
          <w:rFonts w:ascii="仿宋" w:hAnsi="仿宋" w:eastAsia="仿宋" w:cs="仿宋"/>
          <w:sz w:val="32"/>
          <w:szCs w:val="32"/>
        </w:rPr>
      </w:pPr>
      <w:r>
        <w:rPr>
          <w:rFonts w:hint="eastAsia" w:ascii="仿宋" w:hAnsi="仿宋" w:eastAsia="仿宋" w:cs="仿宋"/>
          <w:kern w:val="1"/>
          <w:sz w:val="32"/>
          <w:szCs w:val="32"/>
        </w:rPr>
        <w:t>整芯阻燃输送带主要技术指标优于标准</w:t>
      </w:r>
      <w:r>
        <w:rPr>
          <w:rFonts w:hint="eastAsia" w:ascii="仿宋" w:hAnsi="仿宋" w:eastAsia="仿宋" w:cs="仿宋"/>
          <w:kern w:val="1"/>
          <w:sz w:val="32"/>
          <w:szCs w:val="32"/>
          <w:lang w:val="en-US" w:eastAsia="zh-CN"/>
        </w:rPr>
        <w:t>5</w:t>
      </w:r>
      <w:r>
        <w:rPr>
          <w:rFonts w:hint="eastAsia" w:ascii="仿宋" w:hAnsi="仿宋" w:eastAsia="仿宋" w:cs="仿宋"/>
          <w:kern w:val="1"/>
          <w:sz w:val="32"/>
          <w:szCs w:val="32"/>
        </w:rPr>
        <w:t>%</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699"/>
        <w:gridCol w:w="1411"/>
        <w:gridCol w:w="2543"/>
        <w:gridCol w:w="2861"/>
      </w:tblGrid>
      <w:tr w14:paraId="74A6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507" w:type="dxa"/>
            <w:noWrap/>
            <w:vAlign w:val="center"/>
          </w:tcPr>
          <w:p w14:paraId="6DC42E40">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序号</w:t>
            </w:r>
          </w:p>
        </w:tc>
        <w:tc>
          <w:tcPr>
            <w:tcW w:w="3110" w:type="dxa"/>
            <w:gridSpan w:val="2"/>
            <w:noWrap/>
            <w:vAlign w:val="center"/>
          </w:tcPr>
          <w:p w14:paraId="7715278F">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项目</w:t>
            </w:r>
          </w:p>
        </w:tc>
        <w:tc>
          <w:tcPr>
            <w:tcW w:w="2543" w:type="dxa"/>
            <w:noWrap/>
            <w:vAlign w:val="center"/>
          </w:tcPr>
          <w:p w14:paraId="00C7A11E">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标准值</w:t>
            </w:r>
          </w:p>
        </w:tc>
        <w:tc>
          <w:tcPr>
            <w:tcW w:w="2861" w:type="dxa"/>
            <w:noWrap/>
            <w:vAlign w:val="center"/>
          </w:tcPr>
          <w:p w14:paraId="6A9AF8BC">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优于标准5%</w:t>
            </w:r>
          </w:p>
        </w:tc>
      </w:tr>
      <w:tr w14:paraId="745A5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507" w:type="dxa"/>
            <w:vMerge w:val="restart"/>
            <w:noWrap/>
            <w:vAlign w:val="center"/>
          </w:tcPr>
          <w:p w14:paraId="7BC0C80C">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1</w:t>
            </w:r>
          </w:p>
        </w:tc>
        <w:tc>
          <w:tcPr>
            <w:tcW w:w="1699" w:type="dxa"/>
            <w:vMerge w:val="restart"/>
            <w:noWrap/>
            <w:vAlign w:val="center"/>
          </w:tcPr>
          <w:p w14:paraId="51B31B24">
            <w:pPr>
              <w:spacing w:line="240" w:lineRule="exact"/>
              <w:jc w:val="center"/>
              <w:rPr>
                <w:rFonts w:ascii="仿宋" w:hAnsi="仿宋" w:eastAsia="仿宋" w:cs="仿宋"/>
                <w:b/>
                <w:sz w:val="24"/>
                <w:szCs w:val="24"/>
              </w:rPr>
            </w:pPr>
            <w:r>
              <w:rPr>
                <w:rFonts w:hint="eastAsia" w:ascii="仿宋" w:hAnsi="仿宋" w:eastAsia="仿宋" w:cs="仿宋"/>
                <w:b/>
                <w:sz w:val="24"/>
                <w:szCs w:val="24"/>
              </w:rPr>
              <w:t>拉伸强度（N/mm）</w:t>
            </w:r>
          </w:p>
        </w:tc>
        <w:tc>
          <w:tcPr>
            <w:tcW w:w="1411" w:type="dxa"/>
            <w:noWrap/>
            <w:vAlign w:val="center"/>
          </w:tcPr>
          <w:p w14:paraId="61EF5665">
            <w:pPr>
              <w:spacing w:line="240" w:lineRule="exact"/>
              <w:jc w:val="center"/>
              <w:rPr>
                <w:rFonts w:ascii="仿宋" w:hAnsi="仿宋" w:eastAsia="仿宋" w:cs="仿宋"/>
                <w:b/>
                <w:sz w:val="24"/>
                <w:szCs w:val="24"/>
              </w:rPr>
            </w:pPr>
            <w:r>
              <w:rPr>
                <w:rFonts w:hint="eastAsia" w:ascii="仿宋" w:hAnsi="仿宋" w:eastAsia="仿宋" w:cs="仿宋"/>
                <w:b/>
                <w:sz w:val="24"/>
                <w:szCs w:val="24"/>
              </w:rPr>
              <w:t>纵向</w:t>
            </w:r>
          </w:p>
        </w:tc>
        <w:tc>
          <w:tcPr>
            <w:tcW w:w="2543" w:type="dxa"/>
            <w:shd w:val="clear" w:color="auto" w:fill="auto"/>
            <w:noWrap/>
            <w:vAlign w:val="center"/>
          </w:tcPr>
          <w:p w14:paraId="0E60C272">
            <w:pPr>
              <w:tabs>
                <w:tab w:val="left" w:pos="527"/>
              </w:tabs>
              <w:autoSpaceDE w:val="0"/>
              <w:autoSpaceDN w:val="0"/>
              <w:adjustRightInd w:val="0"/>
              <w:spacing w:line="500" w:lineRule="exact"/>
              <w:jc w:val="center"/>
              <w:rPr>
                <w:rFonts w:ascii="仿宋" w:hAnsi="仿宋" w:eastAsia="仿宋" w:cs="仿宋"/>
                <w:b/>
                <w:bCs/>
                <w:color w:val="000000"/>
                <w:kern w:val="2"/>
                <w:sz w:val="24"/>
                <w:szCs w:val="24"/>
                <w:lang w:val="zh-CN" w:eastAsia="zh-CN" w:bidi="ar-SA"/>
              </w:rPr>
            </w:pPr>
            <w:r>
              <w:rPr>
                <w:rFonts w:hint="eastAsia" w:ascii="仿宋" w:hAnsi="仿宋" w:eastAsia="仿宋" w:cs="仿宋"/>
                <w:b/>
                <w:color w:val="000000"/>
                <w:sz w:val="24"/>
                <w:szCs w:val="24"/>
              </w:rPr>
              <w:t>≥</w:t>
            </w:r>
            <w:r>
              <w:rPr>
                <w:rFonts w:hint="eastAsia" w:ascii="仿宋" w:hAnsi="仿宋" w:eastAsia="仿宋" w:cs="仿宋"/>
                <w:b/>
                <w:bCs/>
                <w:color w:val="000000"/>
                <w:sz w:val="24"/>
                <w:szCs w:val="24"/>
                <w:lang w:val="zh-CN"/>
              </w:rPr>
              <w:t>1000(1000S)</w:t>
            </w:r>
          </w:p>
        </w:tc>
        <w:tc>
          <w:tcPr>
            <w:tcW w:w="2861" w:type="dxa"/>
            <w:shd w:val="clear" w:color="auto" w:fill="auto"/>
            <w:noWrap/>
            <w:vAlign w:val="center"/>
          </w:tcPr>
          <w:p w14:paraId="095A4D3E">
            <w:pPr>
              <w:tabs>
                <w:tab w:val="left" w:pos="527"/>
              </w:tabs>
              <w:autoSpaceDE w:val="0"/>
              <w:autoSpaceDN w:val="0"/>
              <w:adjustRightInd w:val="0"/>
              <w:spacing w:line="500" w:lineRule="exact"/>
              <w:jc w:val="center"/>
              <w:rPr>
                <w:rFonts w:hint="default" w:ascii="仿宋" w:hAnsi="仿宋" w:eastAsia="仿宋" w:cs="仿宋"/>
                <w:b/>
                <w:bCs/>
                <w:color w:val="000000"/>
                <w:kern w:val="2"/>
                <w:sz w:val="24"/>
                <w:szCs w:val="24"/>
                <w:lang w:val="en-US" w:eastAsia="zh-CN" w:bidi="ar-SA"/>
              </w:rPr>
            </w:pPr>
            <w:r>
              <w:rPr>
                <w:rFonts w:hint="eastAsia" w:ascii="仿宋" w:hAnsi="仿宋" w:eastAsia="仿宋" w:cs="仿宋"/>
                <w:b/>
                <w:color w:val="000000"/>
                <w:sz w:val="24"/>
                <w:szCs w:val="24"/>
              </w:rPr>
              <w:t>≥</w:t>
            </w:r>
            <w:r>
              <w:rPr>
                <w:rFonts w:hint="eastAsia" w:ascii="仿宋" w:hAnsi="仿宋" w:eastAsia="仿宋" w:cs="仿宋"/>
                <w:b/>
                <w:bCs/>
                <w:color w:val="000000"/>
                <w:sz w:val="24"/>
                <w:szCs w:val="24"/>
                <w:lang w:val="en-US" w:eastAsia="zh-CN"/>
              </w:rPr>
              <w:t>1050</w:t>
            </w:r>
          </w:p>
        </w:tc>
      </w:tr>
      <w:tr w14:paraId="3EB30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07" w:type="dxa"/>
            <w:vMerge w:val="continue"/>
            <w:noWrap/>
            <w:vAlign w:val="center"/>
          </w:tcPr>
          <w:p w14:paraId="3FA6786C">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p>
        </w:tc>
        <w:tc>
          <w:tcPr>
            <w:tcW w:w="1699" w:type="dxa"/>
            <w:vMerge w:val="continue"/>
            <w:noWrap/>
            <w:vAlign w:val="center"/>
          </w:tcPr>
          <w:p w14:paraId="1855DCA5">
            <w:pPr>
              <w:spacing w:line="240" w:lineRule="exact"/>
              <w:jc w:val="center"/>
              <w:rPr>
                <w:rFonts w:ascii="仿宋" w:hAnsi="仿宋" w:eastAsia="仿宋" w:cs="仿宋"/>
                <w:b/>
                <w:sz w:val="24"/>
                <w:szCs w:val="24"/>
              </w:rPr>
            </w:pPr>
          </w:p>
        </w:tc>
        <w:tc>
          <w:tcPr>
            <w:tcW w:w="1411" w:type="dxa"/>
            <w:noWrap/>
            <w:vAlign w:val="center"/>
          </w:tcPr>
          <w:p w14:paraId="3D764D46">
            <w:pPr>
              <w:spacing w:line="240" w:lineRule="exact"/>
              <w:jc w:val="center"/>
              <w:rPr>
                <w:rFonts w:ascii="仿宋" w:hAnsi="仿宋" w:eastAsia="仿宋" w:cs="仿宋"/>
                <w:b/>
                <w:sz w:val="24"/>
                <w:szCs w:val="24"/>
              </w:rPr>
            </w:pPr>
            <w:r>
              <w:rPr>
                <w:rFonts w:hint="eastAsia" w:ascii="仿宋" w:hAnsi="仿宋" w:eastAsia="仿宋" w:cs="仿宋"/>
                <w:b/>
                <w:sz w:val="24"/>
                <w:szCs w:val="24"/>
              </w:rPr>
              <w:t>横向</w:t>
            </w:r>
          </w:p>
        </w:tc>
        <w:tc>
          <w:tcPr>
            <w:tcW w:w="2543" w:type="dxa"/>
            <w:shd w:val="clear" w:color="auto" w:fill="auto"/>
            <w:noWrap/>
            <w:vAlign w:val="center"/>
          </w:tcPr>
          <w:p w14:paraId="38B0F16F">
            <w:pPr>
              <w:tabs>
                <w:tab w:val="left" w:pos="527"/>
              </w:tabs>
              <w:autoSpaceDE w:val="0"/>
              <w:autoSpaceDN w:val="0"/>
              <w:adjustRightInd w:val="0"/>
              <w:spacing w:line="500" w:lineRule="exact"/>
              <w:jc w:val="center"/>
              <w:rPr>
                <w:rFonts w:ascii="仿宋" w:hAnsi="仿宋" w:eastAsia="仿宋" w:cs="仿宋"/>
                <w:b/>
                <w:bCs/>
                <w:color w:val="000000"/>
                <w:kern w:val="2"/>
                <w:sz w:val="24"/>
                <w:szCs w:val="24"/>
                <w:lang w:val="zh-CN" w:eastAsia="zh-CN" w:bidi="ar-SA"/>
              </w:rPr>
            </w:pPr>
            <w:r>
              <w:rPr>
                <w:rFonts w:hint="eastAsia" w:ascii="仿宋" w:hAnsi="仿宋" w:eastAsia="仿宋" w:cs="仿宋"/>
                <w:b/>
                <w:color w:val="000000"/>
                <w:sz w:val="24"/>
                <w:szCs w:val="24"/>
              </w:rPr>
              <w:t>≥</w:t>
            </w:r>
            <w:r>
              <w:rPr>
                <w:rFonts w:hint="eastAsia" w:ascii="仿宋" w:hAnsi="仿宋" w:eastAsia="仿宋" w:cs="仿宋"/>
                <w:b/>
                <w:bCs/>
                <w:color w:val="000000"/>
                <w:sz w:val="24"/>
                <w:szCs w:val="24"/>
                <w:lang w:val="zh-CN"/>
              </w:rPr>
              <w:t>300(1000S)</w:t>
            </w:r>
          </w:p>
        </w:tc>
        <w:tc>
          <w:tcPr>
            <w:tcW w:w="2861" w:type="dxa"/>
            <w:shd w:val="clear" w:color="auto" w:fill="auto"/>
            <w:noWrap/>
            <w:vAlign w:val="center"/>
          </w:tcPr>
          <w:p w14:paraId="07159810">
            <w:pPr>
              <w:tabs>
                <w:tab w:val="left" w:pos="527"/>
              </w:tabs>
              <w:autoSpaceDE w:val="0"/>
              <w:autoSpaceDN w:val="0"/>
              <w:adjustRightInd w:val="0"/>
              <w:spacing w:line="500" w:lineRule="exact"/>
              <w:jc w:val="center"/>
              <w:rPr>
                <w:rFonts w:hint="default" w:ascii="仿宋" w:hAnsi="仿宋" w:eastAsia="仿宋" w:cs="仿宋"/>
                <w:b/>
                <w:bCs/>
                <w:color w:val="000000"/>
                <w:kern w:val="2"/>
                <w:sz w:val="24"/>
                <w:szCs w:val="24"/>
                <w:lang w:val="en-US" w:eastAsia="zh-CN" w:bidi="ar-SA"/>
              </w:rPr>
            </w:pPr>
            <w:r>
              <w:rPr>
                <w:rFonts w:hint="eastAsia" w:ascii="仿宋" w:hAnsi="仿宋" w:eastAsia="仿宋" w:cs="仿宋"/>
                <w:b/>
                <w:color w:val="000000"/>
                <w:sz w:val="24"/>
                <w:szCs w:val="24"/>
              </w:rPr>
              <w:t>≥</w:t>
            </w:r>
            <w:r>
              <w:rPr>
                <w:rFonts w:hint="eastAsia" w:ascii="仿宋" w:hAnsi="仿宋" w:eastAsia="仿宋" w:cs="仿宋"/>
                <w:b/>
                <w:bCs/>
                <w:color w:val="000000"/>
                <w:sz w:val="24"/>
                <w:szCs w:val="24"/>
                <w:lang w:val="en-US" w:eastAsia="zh-CN"/>
              </w:rPr>
              <w:t>315</w:t>
            </w:r>
          </w:p>
        </w:tc>
      </w:tr>
      <w:tr w14:paraId="50312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7" w:type="dxa"/>
            <w:vMerge w:val="restart"/>
            <w:noWrap/>
            <w:vAlign w:val="center"/>
          </w:tcPr>
          <w:p w14:paraId="731D6482">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2</w:t>
            </w:r>
          </w:p>
        </w:tc>
        <w:tc>
          <w:tcPr>
            <w:tcW w:w="1699" w:type="dxa"/>
            <w:vMerge w:val="restart"/>
            <w:noWrap/>
            <w:vAlign w:val="center"/>
          </w:tcPr>
          <w:p w14:paraId="674328EA">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sz w:val="24"/>
                <w:szCs w:val="24"/>
              </w:rPr>
              <w:t>盖胶与芯体黏合强度（N/mm）</w:t>
            </w:r>
          </w:p>
        </w:tc>
        <w:tc>
          <w:tcPr>
            <w:tcW w:w="1411" w:type="dxa"/>
            <w:noWrap/>
            <w:vAlign w:val="center"/>
          </w:tcPr>
          <w:p w14:paraId="31AD1B28">
            <w:pPr>
              <w:spacing w:line="240" w:lineRule="exact"/>
              <w:jc w:val="center"/>
              <w:rPr>
                <w:rFonts w:ascii="仿宋" w:hAnsi="仿宋" w:eastAsia="仿宋" w:cs="仿宋"/>
                <w:b/>
                <w:sz w:val="24"/>
                <w:szCs w:val="24"/>
              </w:rPr>
            </w:pPr>
            <w:r>
              <w:rPr>
                <w:rFonts w:hint="eastAsia" w:ascii="仿宋" w:hAnsi="仿宋" w:eastAsia="仿宋" w:cs="仿宋"/>
                <w:b/>
                <w:sz w:val="24"/>
                <w:szCs w:val="24"/>
              </w:rPr>
              <w:t>平均值</w:t>
            </w:r>
          </w:p>
        </w:tc>
        <w:tc>
          <w:tcPr>
            <w:tcW w:w="2543" w:type="dxa"/>
            <w:noWrap/>
            <w:vAlign w:val="center"/>
          </w:tcPr>
          <w:p w14:paraId="11A5A837">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color w:val="000000"/>
                <w:sz w:val="24"/>
                <w:szCs w:val="24"/>
              </w:rPr>
              <w:t>≥4</w:t>
            </w:r>
          </w:p>
        </w:tc>
        <w:tc>
          <w:tcPr>
            <w:tcW w:w="2861" w:type="dxa"/>
            <w:noWrap/>
            <w:vAlign w:val="center"/>
          </w:tcPr>
          <w:p w14:paraId="4F30881D">
            <w:pPr>
              <w:tabs>
                <w:tab w:val="left" w:pos="527"/>
              </w:tabs>
              <w:autoSpaceDE w:val="0"/>
              <w:autoSpaceDN w:val="0"/>
              <w:adjustRightInd w:val="0"/>
              <w:spacing w:line="500" w:lineRule="exact"/>
              <w:jc w:val="center"/>
              <w:rPr>
                <w:rFonts w:hint="eastAsia" w:ascii="仿宋" w:hAnsi="仿宋" w:eastAsia="仿宋" w:cs="仿宋"/>
                <w:b/>
                <w:bCs/>
                <w:color w:val="000000"/>
                <w:sz w:val="24"/>
                <w:szCs w:val="24"/>
                <w:lang w:val="zh-CN" w:eastAsia="zh-CN"/>
              </w:rPr>
            </w:pPr>
            <w:r>
              <w:rPr>
                <w:rFonts w:hint="eastAsia" w:ascii="仿宋" w:hAnsi="仿宋" w:eastAsia="仿宋" w:cs="仿宋"/>
                <w:b/>
                <w:color w:val="000000"/>
                <w:sz w:val="24"/>
                <w:szCs w:val="24"/>
              </w:rPr>
              <w:t>≥4.</w:t>
            </w:r>
            <w:r>
              <w:rPr>
                <w:rFonts w:hint="eastAsia" w:ascii="仿宋" w:hAnsi="仿宋" w:eastAsia="仿宋" w:cs="仿宋"/>
                <w:b/>
                <w:color w:val="000000"/>
                <w:sz w:val="24"/>
                <w:szCs w:val="24"/>
                <w:lang w:val="en-US" w:eastAsia="zh-CN"/>
              </w:rPr>
              <w:t>2</w:t>
            </w:r>
          </w:p>
        </w:tc>
      </w:tr>
      <w:tr w14:paraId="7519F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07" w:type="dxa"/>
            <w:vMerge w:val="continue"/>
            <w:noWrap/>
            <w:vAlign w:val="center"/>
          </w:tcPr>
          <w:p w14:paraId="6A4D8A8E">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p>
        </w:tc>
        <w:tc>
          <w:tcPr>
            <w:tcW w:w="1699" w:type="dxa"/>
            <w:vMerge w:val="continue"/>
            <w:noWrap/>
            <w:vAlign w:val="center"/>
          </w:tcPr>
          <w:p w14:paraId="42C8F6A0">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p>
        </w:tc>
        <w:tc>
          <w:tcPr>
            <w:tcW w:w="1411" w:type="dxa"/>
            <w:noWrap/>
            <w:vAlign w:val="center"/>
          </w:tcPr>
          <w:p w14:paraId="56846A4C">
            <w:pPr>
              <w:spacing w:line="240" w:lineRule="exact"/>
              <w:jc w:val="center"/>
              <w:rPr>
                <w:rFonts w:ascii="仿宋" w:hAnsi="仿宋" w:eastAsia="仿宋" w:cs="仿宋"/>
                <w:b/>
                <w:sz w:val="24"/>
                <w:szCs w:val="24"/>
              </w:rPr>
            </w:pPr>
            <w:r>
              <w:rPr>
                <w:rFonts w:hint="eastAsia" w:ascii="仿宋" w:hAnsi="仿宋" w:eastAsia="仿宋" w:cs="仿宋"/>
                <w:b/>
                <w:sz w:val="24"/>
                <w:szCs w:val="24"/>
              </w:rPr>
              <w:t>最小值</w:t>
            </w:r>
          </w:p>
        </w:tc>
        <w:tc>
          <w:tcPr>
            <w:tcW w:w="2543" w:type="dxa"/>
            <w:noWrap/>
            <w:vAlign w:val="center"/>
          </w:tcPr>
          <w:p w14:paraId="69696463">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color w:val="000000"/>
                <w:sz w:val="24"/>
                <w:szCs w:val="24"/>
              </w:rPr>
              <w:t>≥3.25</w:t>
            </w:r>
          </w:p>
        </w:tc>
        <w:tc>
          <w:tcPr>
            <w:tcW w:w="2861" w:type="dxa"/>
            <w:noWrap/>
            <w:vAlign w:val="center"/>
          </w:tcPr>
          <w:p w14:paraId="4819A4FB">
            <w:pPr>
              <w:tabs>
                <w:tab w:val="left" w:pos="527"/>
              </w:tabs>
              <w:autoSpaceDE w:val="0"/>
              <w:autoSpaceDN w:val="0"/>
              <w:adjustRightInd w:val="0"/>
              <w:spacing w:line="500" w:lineRule="exact"/>
              <w:jc w:val="center"/>
              <w:rPr>
                <w:rFonts w:hint="default" w:ascii="仿宋" w:hAnsi="仿宋" w:eastAsia="仿宋" w:cs="仿宋"/>
                <w:b/>
                <w:bCs/>
                <w:color w:val="000000"/>
                <w:sz w:val="24"/>
                <w:szCs w:val="24"/>
                <w:lang w:val="en-US" w:eastAsia="zh-CN"/>
              </w:rPr>
            </w:pPr>
            <w:r>
              <w:rPr>
                <w:rFonts w:hint="eastAsia" w:ascii="仿宋" w:hAnsi="仿宋" w:eastAsia="仿宋" w:cs="仿宋"/>
                <w:b/>
                <w:color w:val="000000"/>
                <w:sz w:val="24"/>
                <w:szCs w:val="24"/>
              </w:rPr>
              <w:t>≥</w:t>
            </w:r>
            <w:r>
              <w:rPr>
                <w:rFonts w:hint="eastAsia" w:ascii="仿宋" w:hAnsi="仿宋" w:eastAsia="仿宋" w:cs="仿宋"/>
                <w:b/>
                <w:color w:val="000000"/>
                <w:sz w:val="24"/>
                <w:szCs w:val="24"/>
                <w:lang w:val="en-US" w:eastAsia="zh-CN"/>
              </w:rPr>
              <w:t>3.41</w:t>
            </w:r>
          </w:p>
        </w:tc>
      </w:tr>
      <w:tr w14:paraId="24785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507" w:type="dxa"/>
            <w:noWrap/>
            <w:vAlign w:val="center"/>
          </w:tcPr>
          <w:p w14:paraId="039B618E">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3</w:t>
            </w:r>
          </w:p>
        </w:tc>
        <w:tc>
          <w:tcPr>
            <w:tcW w:w="1699" w:type="dxa"/>
            <w:noWrap/>
            <w:vAlign w:val="center"/>
          </w:tcPr>
          <w:p w14:paraId="02C7D476">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sz w:val="24"/>
                <w:szCs w:val="24"/>
              </w:rPr>
              <w:t>芯体内部黏合强度（N/mm）</w:t>
            </w:r>
          </w:p>
        </w:tc>
        <w:tc>
          <w:tcPr>
            <w:tcW w:w="1411" w:type="dxa"/>
            <w:noWrap/>
            <w:vAlign w:val="center"/>
          </w:tcPr>
          <w:p w14:paraId="01C10247">
            <w:pPr>
              <w:spacing w:line="240" w:lineRule="exact"/>
              <w:jc w:val="center"/>
              <w:rPr>
                <w:rFonts w:ascii="仿宋" w:hAnsi="仿宋" w:eastAsia="仿宋" w:cs="仿宋"/>
                <w:b/>
                <w:sz w:val="24"/>
                <w:szCs w:val="24"/>
              </w:rPr>
            </w:pPr>
            <w:r>
              <w:rPr>
                <w:rFonts w:hint="eastAsia" w:ascii="仿宋" w:hAnsi="仿宋" w:eastAsia="仿宋" w:cs="仿宋"/>
                <w:b/>
                <w:sz w:val="24"/>
                <w:szCs w:val="24"/>
              </w:rPr>
              <w:t>最小值</w:t>
            </w:r>
          </w:p>
        </w:tc>
        <w:tc>
          <w:tcPr>
            <w:tcW w:w="2543" w:type="dxa"/>
            <w:noWrap/>
            <w:vAlign w:val="center"/>
          </w:tcPr>
          <w:p w14:paraId="26C0F4B7">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color w:val="000000"/>
                <w:sz w:val="24"/>
                <w:szCs w:val="24"/>
              </w:rPr>
              <w:t>≥6.5</w:t>
            </w:r>
          </w:p>
        </w:tc>
        <w:tc>
          <w:tcPr>
            <w:tcW w:w="2861" w:type="dxa"/>
            <w:noWrap/>
            <w:vAlign w:val="center"/>
          </w:tcPr>
          <w:p w14:paraId="10F39E6F">
            <w:pPr>
              <w:tabs>
                <w:tab w:val="left" w:pos="527"/>
              </w:tabs>
              <w:autoSpaceDE w:val="0"/>
              <w:autoSpaceDN w:val="0"/>
              <w:adjustRightInd w:val="0"/>
              <w:spacing w:line="500" w:lineRule="exact"/>
              <w:jc w:val="center"/>
              <w:rPr>
                <w:rFonts w:hint="default" w:ascii="仿宋" w:hAnsi="仿宋" w:eastAsia="仿宋" w:cs="仿宋"/>
                <w:b/>
                <w:bCs/>
                <w:color w:val="000000"/>
                <w:sz w:val="24"/>
                <w:szCs w:val="24"/>
                <w:lang w:val="en-US" w:eastAsia="zh-CN"/>
              </w:rPr>
            </w:pPr>
            <w:r>
              <w:rPr>
                <w:rFonts w:hint="eastAsia" w:ascii="仿宋" w:hAnsi="仿宋" w:eastAsia="仿宋" w:cs="仿宋"/>
                <w:b/>
                <w:color w:val="000000"/>
                <w:sz w:val="24"/>
                <w:szCs w:val="24"/>
              </w:rPr>
              <w:t>≥</w:t>
            </w:r>
            <w:r>
              <w:rPr>
                <w:rFonts w:hint="eastAsia" w:ascii="仿宋" w:hAnsi="仿宋" w:eastAsia="仿宋" w:cs="仿宋"/>
                <w:b/>
                <w:color w:val="000000"/>
                <w:sz w:val="24"/>
                <w:szCs w:val="24"/>
                <w:lang w:val="en-US" w:eastAsia="zh-CN"/>
              </w:rPr>
              <w:t>6.82</w:t>
            </w:r>
          </w:p>
        </w:tc>
      </w:tr>
      <w:tr w14:paraId="08AE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507" w:type="dxa"/>
            <w:vMerge w:val="restart"/>
            <w:noWrap/>
            <w:vAlign w:val="center"/>
          </w:tcPr>
          <w:p w14:paraId="259B6CF9">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4</w:t>
            </w:r>
          </w:p>
        </w:tc>
        <w:tc>
          <w:tcPr>
            <w:tcW w:w="1699" w:type="dxa"/>
            <w:vMerge w:val="restart"/>
            <w:noWrap/>
            <w:vAlign w:val="center"/>
          </w:tcPr>
          <w:p w14:paraId="3B06BA56">
            <w:pPr>
              <w:spacing w:line="240" w:lineRule="exact"/>
              <w:jc w:val="center"/>
              <w:rPr>
                <w:rFonts w:ascii="仿宋" w:hAnsi="仿宋" w:eastAsia="仿宋" w:cs="仿宋"/>
                <w:b/>
                <w:sz w:val="24"/>
                <w:szCs w:val="24"/>
              </w:rPr>
            </w:pPr>
            <w:r>
              <w:rPr>
                <w:rFonts w:hint="eastAsia" w:ascii="仿宋" w:hAnsi="仿宋" w:eastAsia="仿宋" w:cs="仿宋"/>
                <w:b/>
                <w:sz w:val="24"/>
                <w:szCs w:val="24"/>
              </w:rPr>
              <w:t>阻燃性能</w:t>
            </w:r>
          </w:p>
        </w:tc>
        <w:tc>
          <w:tcPr>
            <w:tcW w:w="1411" w:type="dxa"/>
            <w:noWrap/>
            <w:vAlign w:val="center"/>
          </w:tcPr>
          <w:p w14:paraId="54A7A5D6">
            <w:pPr>
              <w:spacing w:line="240" w:lineRule="exact"/>
              <w:jc w:val="center"/>
              <w:rPr>
                <w:rFonts w:ascii="仿宋" w:hAnsi="仿宋" w:eastAsia="仿宋" w:cs="仿宋"/>
                <w:b/>
                <w:sz w:val="24"/>
                <w:szCs w:val="24"/>
              </w:rPr>
            </w:pPr>
            <w:r>
              <w:rPr>
                <w:rFonts w:hint="eastAsia" w:ascii="仿宋" w:hAnsi="仿宋" w:eastAsia="仿宋" w:cs="仿宋"/>
                <w:b/>
                <w:sz w:val="24"/>
                <w:szCs w:val="24"/>
              </w:rPr>
              <w:t>滚筒摩擦</w:t>
            </w:r>
          </w:p>
        </w:tc>
        <w:tc>
          <w:tcPr>
            <w:tcW w:w="2543" w:type="dxa"/>
            <w:noWrap/>
            <w:vAlign w:val="center"/>
          </w:tcPr>
          <w:p w14:paraId="70EF445F">
            <w:pPr>
              <w:tabs>
                <w:tab w:val="left" w:pos="527"/>
              </w:tabs>
              <w:autoSpaceDE w:val="0"/>
              <w:autoSpaceDN w:val="0"/>
              <w:adjustRightInd w:val="0"/>
              <w:spacing w:line="500" w:lineRule="exact"/>
              <w:jc w:val="center"/>
              <w:rPr>
                <w:rFonts w:ascii="仿宋" w:hAnsi="仿宋" w:eastAsia="仿宋" w:cs="仿宋"/>
                <w:b/>
                <w:sz w:val="24"/>
                <w:szCs w:val="24"/>
              </w:rPr>
            </w:pPr>
            <w:r>
              <w:rPr>
                <w:rFonts w:hint="eastAsia" w:ascii="仿宋" w:hAnsi="仿宋" w:eastAsia="仿宋" w:cs="仿宋"/>
                <w:b/>
                <w:sz w:val="24"/>
                <w:szCs w:val="24"/>
              </w:rPr>
              <w:t>表面温度 ≤325℃</w:t>
            </w:r>
          </w:p>
        </w:tc>
        <w:tc>
          <w:tcPr>
            <w:tcW w:w="2861" w:type="dxa"/>
            <w:noWrap/>
            <w:vAlign w:val="center"/>
          </w:tcPr>
          <w:p w14:paraId="5EF7E540">
            <w:pPr>
              <w:tabs>
                <w:tab w:val="left" w:pos="527"/>
              </w:tabs>
              <w:autoSpaceDE w:val="0"/>
              <w:autoSpaceDN w:val="0"/>
              <w:adjustRightInd w:val="0"/>
              <w:spacing w:line="500" w:lineRule="exact"/>
              <w:jc w:val="center"/>
              <w:rPr>
                <w:rFonts w:ascii="仿宋" w:hAnsi="仿宋" w:eastAsia="仿宋" w:cs="仿宋"/>
                <w:b/>
                <w:sz w:val="24"/>
                <w:szCs w:val="24"/>
              </w:rPr>
            </w:pPr>
            <w:r>
              <w:rPr>
                <w:rFonts w:hint="eastAsia" w:ascii="仿宋" w:hAnsi="仿宋" w:eastAsia="仿宋" w:cs="仿宋"/>
                <w:b/>
                <w:sz w:val="24"/>
                <w:szCs w:val="24"/>
              </w:rPr>
              <w:t>表面温度 ≤</w:t>
            </w:r>
            <w:r>
              <w:rPr>
                <w:rFonts w:hint="eastAsia" w:ascii="仿宋" w:hAnsi="仿宋" w:eastAsia="仿宋" w:cs="仿宋"/>
                <w:b/>
                <w:sz w:val="24"/>
                <w:szCs w:val="24"/>
                <w:lang w:val="en-US" w:eastAsia="zh-CN"/>
              </w:rPr>
              <w:t>308.75</w:t>
            </w:r>
            <w:r>
              <w:rPr>
                <w:rFonts w:hint="eastAsia" w:ascii="仿宋" w:hAnsi="仿宋" w:eastAsia="仿宋" w:cs="仿宋"/>
                <w:b/>
                <w:sz w:val="24"/>
                <w:szCs w:val="24"/>
              </w:rPr>
              <w:t>℃</w:t>
            </w:r>
          </w:p>
        </w:tc>
      </w:tr>
      <w:tr w14:paraId="23FA7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jc w:val="center"/>
        </w:trPr>
        <w:tc>
          <w:tcPr>
            <w:tcW w:w="507" w:type="dxa"/>
            <w:vMerge w:val="continue"/>
            <w:noWrap/>
            <w:vAlign w:val="center"/>
          </w:tcPr>
          <w:p w14:paraId="68AE13EA">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p>
        </w:tc>
        <w:tc>
          <w:tcPr>
            <w:tcW w:w="1699" w:type="dxa"/>
            <w:vMerge w:val="continue"/>
            <w:noWrap/>
            <w:vAlign w:val="center"/>
          </w:tcPr>
          <w:p w14:paraId="4F27C431">
            <w:pPr>
              <w:spacing w:line="240" w:lineRule="exact"/>
              <w:jc w:val="center"/>
              <w:rPr>
                <w:rFonts w:ascii="仿宋" w:hAnsi="仿宋" w:eastAsia="仿宋" w:cs="仿宋"/>
                <w:b/>
                <w:sz w:val="24"/>
                <w:szCs w:val="24"/>
              </w:rPr>
            </w:pPr>
          </w:p>
        </w:tc>
        <w:tc>
          <w:tcPr>
            <w:tcW w:w="1411" w:type="dxa"/>
            <w:noWrap/>
            <w:vAlign w:val="center"/>
          </w:tcPr>
          <w:p w14:paraId="21D8DD09">
            <w:pPr>
              <w:spacing w:line="240" w:lineRule="exact"/>
              <w:jc w:val="center"/>
              <w:rPr>
                <w:rFonts w:ascii="仿宋" w:hAnsi="仿宋" w:eastAsia="仿宋" w:cs="仿宋"/>
                <w:b/>
                <w:sz w:val="24"/>
                <w:szCs w:val="24"/>
              </w:rPr>
            </w:pPr>
            <w:r>
              <w:rPr>
                <w:rFonts w:hint="eastAsia" w:ascii="仿宋" w:hAnsi="仿宋" w:eastAsia="仿宋" w:cs="仿宋"/>
                <w:b/>
                <w:sz w:val="24"/>
                <w:szCs w:val="24"/>
              </w:rPr>
              <w:t>酒精喷灯燃烧性能</w:t>
            </w:r>
          </w:p>
        </w:tc>
        <w:tc>
          <w:tcPr>
            <w:tcW w:w="2543" w:type="dxa"/>
            <w:noWrap/>
            <w:vAlign w:val="center"/>
          </w:tcPr>
          <w:p w14:paraId="2ADEABD1">
            <w:pPr>
              <w:spacing w:line="240" w:lineRule="exact"/>
              <w:jc w:val="center"/>
              <w:rPr>
                <w:rFonts w:ascii="仿宋" w:hAnsi="仿宋" w:eastAsia="仿宋" w:cs="仿宋"/>
                <w:b/>
                <w:sz w:val="24"/>
                <w:szCs w:val="24"/>
              </w:rPr>
            </w:pPr>
            <w:r>
              <w:rPr>
                <w:rFonts w:hint="eastAsia" w:ascii="仿宋" w:hAnsi="仿宋" w:eastAsia="仿宋" w:cs="仿宋"/>
                <w:b/>
                <w:sz w:val="24"/>
                <w:szCs w:val="24"/>
              </w:rPr>
              <w:t>整体燃烧平均值≤3s，单值≤10s ；</w:t>
            </w:r>
          </w:p>
          <w:p w14:paraId="7776AE78">
            <w:pPr>
              <w:spacing w:line="240" w:lineRule="exact"/>
              <w:jc w:val="center"/>
              <w:rPr>
                <w:rFonts w:ascii="仿宋" w:hAnsi="仿宋" w:eastAsia="仿宋" w:cs="仿宋"/>
                <w:b/>
                <w:sz w:val="24"/>
                <w:szCs w:val="24"/>
              </w:rPr>
            </w:pPr>
            <w:r>
              <w:rPr>
                <w:rFonts w:hint="eastAsia" w:ascii="仿宋" w:hAnsi="仿宋" w:eastAsia="仿宋" w:cs="仿宋"/>
                <w:b/>
                <w:sz w:val="24"/>
                <w:szCs w:val="24"/>
              </w:rPr>
              <w:t>芯体燃烧平均值≤5s，单值≤15s</w:t>
            </w:r>
          </w:p>
        </w:tc>
        <w:tc>
          <w:tcPr>
            <w:tcW w:w="2861" w:type="dxa"/>
            <w:noWrap/>
            <w:vAlign w:val="center"/>
          </w:tcPr>
          <w:p w14:paraId="62E037E1">
            <w:pPr>
              <w:spacing w:line="240" w:lineRule="exact"/>
              <w:jc w:val="center"/>
              <w:rPr>
                <w:rFonts w:ascii="仿宋" w:hAnsi="仿宋" w:eastAsia="仿宋" w:cs="仿宋"/>
                <w:b/>
                <w:sz w:val="24"/>
                <w:szCs w:val="24"/>
              </w:rPr>
            </w:pPr>
            <w:r>
              <w:rPr>
                <w:rFonts w:hint="eastAsia" w:ascii="仿宋" w:hAnsi="仿宋" w:eastAsia="仿宋" w:cs="仿宋"/>
                <w:b/>
                <w:sz w:val="24"/>
                <w:szCs w:val="24"/>
              </w:rPr>
              <w:t>整体燃烧平均值≤</w:t>
            </w:r>
            <w:r>
              <w:rPr>
                <w:rFonts w:hint="eastAsia" w:ascii="仿宋" w:hAnsi="仿宋" w:eastAsia="仿宋" w:cs="仿宋"/>
                <w:b/>
                <w:sz w:val="24"/>
                <w:szCs w:val="24"/>
                <w:lang w:val="en-US" w:eastAsia="zh-CN"/>
              </w:rPr>
              <w:t>2.85</w:t>
            </w:r>
            <w:r>
              <w:rPr>
                <w:rFonts w:hint="eastAsia" w:ascii="仿宋" w:hAnsi="仿宋" w:eastAsia="仿宋" w:cs="仿宋"/>
                <w:b/>
                <w:sz w:val="24"/>
                <w:szCs w:val="24"/>
              </w:rPr>
              <w:t>s，单值≤</w:t>
            </w:r>
            <w:r>
              <w:rPr>
                <w:rFonts w:hint="eastAsia" w:ascii="仿宋" w:hAnsi="仿宋" w:eastAsia="仿宋" w:cs="仿宋"/>
                <w:b/>
                <w:sz w:val="24"/>
                <w:szCs w:val="24"/>
                <w:lang w:val="en-US" w:eastAsia="zh-CN"/>
              </w:rPr>
              <w:t>9.5</w:t>
            </w:r>
            <w:r>
              <w:rPr>
                <w:rFonts w:hint="eastAsia" w:ascii="仿宋" w:hAnsi="仿宋" w:eastAsia="仿宋" w:cs="仿宋"/>
                <w:b/>
                <w:sz w:val="24"/>
                <w:szCs w:val="24"/>
              </w:rPr>
              <w:t>s ；</w:t>
            </w:r>
          </w:p>
          <w:p w14:paraId="3C16EE5A">
            <w:pPr>
              <w:spacing w:line="240" w:lineRule="exact"/>
              <w:jc w:val="center"/>
              <w:rPr>
                <w:rFonts w:ascii="仿宋" w:hAnsi="仿宋" w:eastAsia="仿宋" w:cs="仿宋"/>
                <w:b/>
                <w:sz w:val="24"/>
                <w:szCs w:val="24"/>
              </w:rPr>
            </w:pPr>
            <w:r>
              <w:rPr>
                <w:rFonts w:hint="eastAsia" w:ascii="仿宋" w:hAnsi="仿宋" w:eastAsia="仿宋" w:cs="仿宋"/>
                <w:b/>
                <w:sz w:val="24"/>
                <w:szCs w:val="24"/>
              </w:rPr>
              <w:t>芯体燃烧平均值≤</w:t>
            </w:r>
            <w:r>
              <w:rPr>
                <w:rFonts w:hint="eastAsia" w:ascii="仿宋" w:hAnsi="仿宋" w:eastAsia="仿宋" w:cs="仿宋"/>
                <w:b/>
                <w:sz w:val="24"/>
                <w:szCs w:val="24"/>
                <w:lang w:val="en-US" w:eastAsia="zh-CN"/>
              </w:rPr>
              <w:t>4.75</w:t>
            </w:r>
            <w:r>
              <w:rPr>
                <w:rFonts w:hint="eastAsia" w:ascii="仿宋" w:hAnsi="仿宋" w:eastAsia="仿宋" w:cs="仿宋"/>
                <w:b/>
                <w:sz w:val="24"/>
                <w:szCs w:val="24"/>
              </w:rPr>
              <w:t>s，单值≤</w:t>
            </w:r>
            <w:r>
              <w:rPr>
                <w:rFonts w:hint="eastAsia" w:ascii="仿宋" w:hAnsi="仿宋" w:eastAsia="仿宋" w:cs="仿宋"/>
                <w:b/>
                <w:sz w:val="24"/>
                <w:szCs w:val="24"/>
                <w:lang w:val="en-US" w:eastAsia="zh-CN"/>
              </w:rPr>
              <w:t>14.25</w:t>
            </w:r>
            <w:r>
              <w:rPr>
                <w:rFonts w:hint="eastAsia" w:ascii="仿宋" w:hAnsi="仿宋" w:eastAsia="仿宋" w:cs="仿宋"/>
                <w:b/>
                <w:sz w:val="24"/>
                <w:szCs w:val="24"/>
              </w:rPr>
              <w:t>s</w:t>
            </w:r>
          </w:p>
        </w:tc>
      </w:tr>
      <w:tr w14:paraId="64A3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07" w:type="dxa"/>
            <w:noWrap/>
            <w:vAlign w:val="center"/>
          </w:tcPr>
          <w:p w14:paraId="2FFC18E6">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5</w:t>
            </w:r>
          </w:p>
        </w:tc>
        <w:tc>
          <w:tcPr>
            <w:tcW w:w="1699" w:type="dxa"/>
            <w:noWrap/>
            <w:vAlign w:val="center"/>
          </w:tcPr>
          <w:p w14:paraId="6BE094B2">
            <w:pPr>
              <w:spacing w:line="240" w:lineRule="exact"/>
              <w:jc w:val="center"/>
              <w:rPr>
                <w:rFonts w:ascii="仿宋" w:hAnsi="仿宋" w:eastAsia="仿宋" w:cs="仿宋"/>
                <w:b/>
                <w:sz w:val="24"/>
                <w:szCs w:val="24"/>
              </w:rPr>
            </w:pPr>
            <w:r>
              <w:rPr>
                <w:rFonts w:hint="eastAsia" w:ascii="仿宋" w:hAnsi="仿宋" w:eastAsia="仿宋" w:cs="仿宋"/>
                <w:b/>
                <w:sz w:val="24"/>
                <w:szCs w:val="24"/>
              </w:rPr>
              <w:t>导静电</w:t>
            </w:r>
          </w:p>
          <w:p w14:paraId="3A20C834">
            <w:pPr>
              <w:spacing w:line="240" w:lineRule="exact"/>
              <w:jc w:val="center"/>
              <w:rPr>
                <w:rFonts w:ascii="仿宋" w:hAnsi="仿宋" w:eastAsia="仿宋" w:cs="仿宋"/>
                <w:b/>
                <w:sz w:val="24"/>
                <w:szCs w:val="24"/>
              </w:rPr>
            </w:pPr>
            <w:r>
              <w:rPr>
                <w:rFonts w:hint="eastAsia" w:ascii="仿宋" w:hAnsi="仿宋" w:eastAsia="仿宋" w:cs="仿宋"/>
                <w:b/>
                <w:sz w:val="24"/>
                <w:szCs w:val="24"/>
              </w:rPr>
              <w:t>性  能</w:t>
            </w:r>
          </w:p>
        </w:tc>
        <w:tc>
          <w:tcPr>
            <w:tcW w:w="1411" w:type="dxa"/>
            <w:noWrap/>
            <w:vAlign w:val="center"/>
          </w:tcPr>
          <w:p w14:paraId="42958D68">
            <w:pPr>
              <w:spacing w:line="240" w:lineRule="exact"/>
              <w:jc w:val="center"/>
              <w:rPr>
                <w:rFonts w:ascii="仿宋" w:hAnsi="仿宋" w:eastAsia="仿宋" w:cs="仿宋"/>
                <w:b/>
                <w:sz w:val="24"/>
                <w:szCs w:val="24"/>
              </w:rPr>
            </w:pPr>
            <w:r>
              <w:rPr>
                <w:rFonts w:hint="eastAsia" w:ascii="仿宋" w:hAnsi="仿宋" w:eastAsia="仿宋" w:cs="仿宋"/>
                <w:b/>
                <w:sz w:val="24"/>
                <w:szCs w:val="24"/>
              </w:rPr>
              <w:t>表面电阻</w:t>
            </w:r>
          </w:p>
        </w:tc>
        <w:tc>
          <w:tcPr>
            <w:tcW w:w="2543" w:type="dxa"/>
            <w:noWrap/>
            <w:vAlign w:val="center"/>
          </w:tcPr>
          <w:p w14:paraId="520FAD0E">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sz w:val="24"/>
                <w:szCs w:val="24"/>
              </w:rPr>
              <w:t>≤3×10</w:t>
            </w:r>
            <w:r>
              <w:rPr>
                <w:rFonts w:hint="eastAsia" w:ascii="仿宋" w:hAnsi="仿宋" w:eastAsia="仿宋" w:cs="仿宋"/>
                <w:b/>
                <w:sz w:val="24"/>
                <w:szCs w:val="24"/>
                <w:vertAlign w:val="superscript"/>
              </w:rPr>
              <w:t>8</w:t>
            </w:r>
            <w:r>
              <w:rPr>
                <w:rFonts w:hint="eastAsia" w:ascii="仿宋" w:hAnsi="仿宋" w:eastAsia="仿宋" w:cs="仿宋"/>
                <w:b/>
                <w:sz w:val="24"/>
                <w:szCs w:val="24"/>
              </w:rPr>
              <w:t>Ω</w:t>
            </w:r>
          </w:p>
        </w:tc>
        <w:tc>
          <w:tcPr>
            <w:tcW w:w="2861" w:type="dxa"/>
            <w:noWrap/>
            <w:vAlign w:val="center"/>
          </w:tcPr>
          <w:p w14:paraId="43A3862C">
            <w:pPr>
              <w:tabs>
                <w:tab w:val="left" w:pos="527"/>
              </w:tabs>
              <w:autoSpaceDE w:val="0"/>
              <w:autoSpaceDN w:val="0"/>
              <w:adjustRightInd w:val="0"/>
              <w:spacing w:line="500" w:lineRule="exact"/>
              <w:jc w:val="center"/>
              <w:rPr>
                <w:rFonts w:ascii="仿宋" w:hAnsi="仿宋" w:eastAsia="仿宋" w:cs="仿宋"/>
                <w:b/>
                <w:bCs/>
                <w:color w:val="000000"/>
                <w:sz w:val="24"/>
                <w:szCs w:val="24"/>
                <w:lang w:val="zh-CN"/>
              </w:rPr>
            </w:pPr>
            <w:r>
              <w:rPr>
                <w:rFonts w:hint="eastAsia" w:ascii="仿宋" w:hAnsi="仿宋" w:eastAsia="仿宋" w:cs="仿宋"/>
                <w:b/>
                <w:sz w:val="24"/>
                <w:szCs w:val="24"/>
              </w:rPr>
              <w:t>≤</w:t>
            </w:r>
            <w:r>
              <w:rPr>
                <w:rFonts w:hint="eastAsia" w:ascii="仿宋" w:hAnsi="仿宋" w:eastAsia="仿宋" w:cs="仿宋"/>
                <w:b/>
                <w:sz w:val="24"/>
                <w:szCs w:val="24"/>
                <w:lang w:val="en-US" w:eastAsia="zh-CN"/>
              </w:rPr>
              <w:t>2.85</w:t>
            </w:r>
            <w:r>
              <w:rPr>
                <w:rFonts w:hint="eastAsia" w:ascii="仿宋" w:hAnsi="仿宋" w:eastAsia="仿宋" w:cs="仿宋"/>
                <w:b/>
                <w:sz w:val="24"/>
                <w:szCs w:val="24"/>
              </w:rPr>
              <w:t>×10</w:t>
            </w:r>
            <w:r>
              <w:rPr>
                <w:rFonts w:hint="eastAsia" w:ascii="仿宋" w:hAnsi="仿宋" w:eastAsia="仿宋" w:cs="仿宋"/>
                <w:b/>
                <w:sz w:val="24"/>
                <w:szCs w:val="24"/>
                <w:vertAlign w:val="superscript"/>
              </w:rPr>
              <w:t>8</w:t>
            </w:r>
            <w:r>
              <w:rPr>
                <w:rFonts w:hint="eastAsia" w:ascii="仿宋" w:hAnsi="仿宋" w:eastAsia="仿宋" w:cs="仿宋"/>
                <w:b/>
                <w:sz w:val="24"/>
                <w:szCs w:val="24"/>
              </w:rPr>
              <w:t>Ω</w:t>
            </w:r>
          </w:p>
        </w:tc>
      </w:tr>
    </w:tbl>
    <w:p w14:paraId="17864EB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ascii="黑体" w:hAnsi="Times New Roman" w:eastAsia="黑体" w:cs="黑体"/>
          <w:sz w:val="32"/>
          <w:szCs w:val="32"/>
        </w:rPr>
      </w:pPr>
      <w:r>
        <w:rPr>
          <w:rFonts w:hint="eastAsia" w:ascii="黑体" w:hAnsi="Times New Roman" w:eastAsia="黑体" w:cs="黑体"/>
          <w:sz w:val="32"/>
          <w:szCs w:val="32"/>
          <w:lang w:val="en-US" w:eastAsia="zh-CN"/>
        </w:rPr>
        <w:t>四、</w:t>
      </w:r>
      <w:r>
        <w:rPr>
          <w:rFonts w:hint="eastAsia" w:ascii="黑体" w:hAnsi="Times New Roman" w:eastAsia="黑体" w:cs="黑体"/>
          <w:sz w:val="32"/>
          <w:szCs w:val="32"/>
        </w:rPr>
        <w:t>包装、运输、储存及验收</w:t>
      </w:r>
    </w:p>
    <w:p w14:paraId="737D920E">
      <w:pPr>
        <w:keepNext w:val="0"/>
        <w:keepLines w:val="0"/>
        <w:pageBreakBefore w:val="0"/>
        <w:widowControl w:val="0"/>
        <w:tabs>
          <w:tab w:val="left" w:pos="3270"/>
        </w:tabs>
        <w:kinsoku/>
        <w:wordWrap/>
        <w:overflowPunct/>
        <w:topLinePunct w:val="0"/>
        <w:autoSpaceDE/>
        <w:autoSpaceDN/>
        <w:bidi w:val="0"/>
        <w:adjustRightInd/>
        <w:snapToGrid/>
        <w:spacing w:line="48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1.输送带包装、捆扎必须执行GB/T 39813-2021标准。</w:t>
      </w:r>
    </w:p>
    <w:p w14:paraId="31113C54">
      <w:pPr>
        <w:keepNext w:val="0"/>
        <w:keepLines w:val="0"/>
        <w:pageBreakBefore w:val="0"/>
        <w:widowControl w:val="0"/>
        <w:tabs>
          <w:tab w:val="left" w:pos="3270"/>
        </w:tabs>
        <w:kinsoku/>
        <w:wordWrap/>
        <w:overflowPunct/>
        <w:topLinePunct w:val="0"/>
        <w:autoSpaceDE/>
        <w:autoSpaceDN/>
        <w:bidi w:val="0"/>
        <w:adjustRightInd/>
        <w:snapToGrid/>
        <w:spacing w:line="48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2.招标人对运输带每捆的长度有要求的，投标人必须按要求生产加工。招标人对运输带的每捆长度没有要求的，按</w:t>
      </w:r>
      <w:r>
        <w:rPr>
          <w:rFonts w:hint="eastAsia" w:ascii="仿宋" w:hAnsi="仿宋" w:eastAsia="仿宋" w:cs="仿宋"/>
          <w:sz w:val="32"/>
          <w:szCs w:val="32"/>
          <w:lang w:val="en-US" w:eastAsia="zh-CN"/>
        </w:rPr>
        <w:t>1</w:t>
      </w:r>
      <w:r>
        <w:rPr>
          <w:rFonts w:hint="eastAsia" w:ascii="仿宋" w:hAnsi="仿宋" w:eastAsia="仿宋" w:cs="仿宋"/>
          <w:sz w:val="32"/>
          <w:szCs w:val="32"/>
        </w:rPr>
        <w:t>00米/捆生产加工。</w:t>
      </w:r>
    </w:p>
    <w:p w14:paraId="0DF3BA90">
      <w:pPr>
        <w:keepNext w:val="0"/>
        <w:keepLines w:val="0"/>
        <w:pageBreakBefore w:val="0"/>
        <w:widowControl w:val="0"/>
        <w:tabs>
          <w:tab w:val="left" w:pos="3270"/>
        </w:tabs>
        <w:kinsoku/>
        <w:wordWrap/>
        <w:overflowPunct/>
        <w:topLinePunct w:val="0"/>
        <w:autoSpaceDE/>
        <w:autoSpaceDN/>
        <w:bidi w:val="0"/>
        <w:adjustRightInd/>
        <w:snapToGrid/>
        <w:spacing w:line="48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3.包装物上产品的生产厂家、物资名称、规格型号、长度等标识必须清晰、准确、完整，保存时间较长。</w:t>
      </w:r>
    </w:p>
    <w:p w14:paraId="4EC4A33F">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ascii="仿宋" w:hAnsi="仿宋" w:eastAsia="仿宋" w:cs="仿宋"/>
          <w:kern w:val="1"/>
          <w:sz w:val="32"/>
          <w:szCs w:val="32"/>
        </w:rPr>
      </w:pPr>
      <w:r>
        <w:rPr>
          <w:rFonts w:hint="eastAsia" w:ascii="仿宋" w:hAnsi="仿宋" w:eastAsia="仿宋" w:cs="仿宋"/>
          <w:sz w:val="32"/>
          <w:szCs w:val="32"/>
        </w:rPr>
        <w:t>4.</w:t>
      </w:r>
      <w:r>
        <w:rPr>
          <w:rFonts w:hint="eastAsia" w:ascii="仿宋" w:hAnsi="仿宋" w:eastAsia="仿宋" w:cs="仿宋"/>
          <w:kern w:val="1"/>
          <w:sz w:val="32"/>
          <w:szCs w:val="32"/>
        </w:rPr>
        <w:t>所供应的产品必须具有有效的矿用产品安全标志证书、产品合格证及质检报告等相关证明材料。送货时提供矿用产品安全标志证书、产品合格证、送货清单及质检报告等资料。</w:t>
      </w:r>
    </w:p>
    <w:p w14:paraId="6AF9C201">
      <w:pPr>
        <w:spacing w:line="560" w:lineRule="exact"/>
        <w:ind w:firstLine="640" w:firstLineChars="200"/>
        <w:rPr>
          <w:rFonts w:hint="eastAsia" w:ascii="黑体" w:hAnsi="Times New Roman" w:eastAsia="黑体" w:cs="黑体"/>
          <w:sz w:val="32"/>
          <w:szCs w:val="32"/>
          <w:lang w:val="en-US" w:eastAsia="zh-CN"/>
        </w:rPr>
      </w:pPr>
      <w:r>
        <w:rPr>
          <w:rFonts w:hint="eastAsia" w:ascii="黑体" w:hAnsi="Times New Roman" w:eastAsia="黑体" w:cs="黑体"/>
          <w:sz w:val="32"/>
          <w:szCs w:val="32"/>
          <w:lang w:val="en-US" w:eastAsia="zh-CN"/>
        </w:rPr>
        <w:t>五</w:t>
      </w:r>
      <w:r>
        <w:rPr>
          <w:rFonts w:ascii="黑体" w:hAnsi="Times New Roman" w:eastAsia="黑体" w:cs="黑体"/>
          <w:sz w:val="32"/>
          <w:szCs w:val="32"/>
        </w:rPr>
        <w:t>、</w:t>
      </w:r>
      <w:r>
        <w:rPr>
          <w:rFonts w:hint="eastAsia" w:ascii="黑体" w:hAnsi="Times New Roman" w:eastAsia="黑体" w:cs="黑体"/>
          <w:sz w:val="32"/>
          <w:szCs w:val="32"/>
          <w:lang w:val="en-US" w:eastAsia="zh-CN"/>
        </w:rPr>
        <w:t>售后服务</w:t>
      </w:r>
    </w:p>
    <w:p w14:paraId="5CA8D8D7">
      <w:pPr>
        <w:spacing w:line="560" w:lineRule="exact"/>
        <w:ind w:firstLine="600" w:firstLineChars="200"/>
        <w:rPr>
          <w:rFonts w:hint="eastAsia" w:ascii="仿宋_GB2312" w:eastAsia="仿宋_GB2312"/>
          <w:sz w:val="30"/>
          <w:szCs w:val="30"/>
        </w:rPr>
      </w:pPr>
      <w:r>
        <w:rPr>
          <w:rFonts w:hint="eastAsia" w:ascii="仿宋_GB2312" w:eastAsia="仿宋_GB2312"/>
          <w:sz w:val="30"/>
          <w:szCs w:val="30"/>
        </w:rPr>
        <w:t>除国家另有专门规定、招标文件有特殊要求或投标方有优惠条件外，按GB/T 16784-2025 工业产品售后服务总则执行，12个月内实行质量“三包”。质保期内若出现质量问题，中标方应在接到通知后的24小时内到达现场处理并提供解决方案。</w:t>
      </w:r>
    </w:p>
    <w:p w14:paraId="551228FE">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ascii="黑体" w:hAnsi="Times New Roman" w:eastAsia="黑体" w:cs="Times New Roman"/>
          <w:sz w:val="32"/>
          <w:szCs w:val="32"/>
        </w:rPr>
      </w:pPr>
      <w:r>
        <w:rPr>
          <w:rFonts w:hint="eastAsia" w:ascii="黑体" w:hAnsi="Times New Roman" w:eastAsia="黑体" w:cs="黑体"/>
          <w:sz w:val="32"/>
          <w:szCs w:val="32"/>
          <w:lang w:val="en-US" w:eastAsia="zh-CN"/>
        </w:rPr>
        <w:t>六</w:t>
      </w:r>
      <w:r>
        <w:rPr>
          <w:rFonts w:hint="eastAsia" w:ascii="黑体" w:hAnsi="Times New Roman" w:eastAsia="黑体" w:cs="黑体"/>
          <w:sz w:val="32"/>
          <w:szCs w:val="32"/>
        </w:rPr>
        <w:t>、供货时间及地点</w:t>
      </w:r>
    </w:p>
    <w:p w14:paraId="7BA02AB4">
      <w:pPr>
        <w:keepNext w:val="0"/>
        <w:keepLines w:val="0"/>
        <w:pageBreakBefore w:val="0"/>
        <w:widowControl w:val="0"/>
        <w:kinsoku/>
        <w:wordWrap/>
        <w:overflowPunct/>
        <w:topLinePunct w:val="0"/>
        <w:autoSpaceDE/>
        <w:autoSpaceDN/>
        <w:bidi w:val="0"/>
        <w:adjustRightInd/>
        <w:snapToGrid/>
        <w:spacing w:line="560" w:lineRule="exact"/>
        <w:ind w:firstLine="630" w:firstLineChars="210"/>
        <w:textAlignment w:val="auto"/>
        <w:rPr>
          <w:rFonts w:ascii="仿宋_GB2312" w:eastAsia="仿宋_GB2312"/>
          <w:sz w:val="30"/>
          <w:szCs w:val="30"/>
        </w:rPr>
      </w:pPr>
      <w:r>
        <w:rPr>
          <w:rFonts w:hint="eastAsia" w:ascii="仿宋_GB2312" w:eastAsia="仿宋_GB2312"/>
          <w:sz w:val="30"/>
          <w:szCs w:val="30"/>
        </w:rPr>
        <w:t>交货时间：</w:t>
      </w:r>
      <w:r>
        <w:rPr>
          <w:rFonts w:hint="eastAsia" w:ascii="仿宋_GB2312" w:eastAsia="仿宋_GB2312"/>
          <w:sz w:val="30"/>
          <w:szCs w:val="30"/>
          <w:lang w:val="en-US" w:eastAsia="zh-CN"/>
        </w:rPr>
        <w:t>送货单开出后45</w:t>
      </w:r>
      <w:r>
        <w:rPr>
          <w:rFonts w:hint="eastAsia" w:ascii="仿宋_GB2312" w:eastAsia="仿宋_GB2312"/>
          <w:sz w:val="30"/>
          <w:szCs w:val="30"/>
        </w:rPr>
        <w:t>天内交货。使用单位有交货期</w:t>
      </w:r>
      <w:r>
        <w:rPr>
          <w:rFonts w:hint="eastAsia" w:ascii="仿宋_GB2312" w:eastAsia="仿宋_GB2312"/>
          <w:sz w:val="30"/>
          <w:szCs w:val="30"/>
          <w:lang w:val="en-US" w:eastAsia="zh-CN"/>
        </w:rPr>
        <w:t>或其他</w:t>
      </w:r>
      <w:r>
        <w:rPr>
          <w:rFonts w:hint="eastAsia" w:ascii="仿宋_GB2312" w:eastAsia="仿宋_GB2312"/>
          <w:sz w:val="30"/>
          <w:szCs w:val="30"/>
        </w:rPr>
        <w:t>要求的，按照双方签订的技术协议执行。</w:t>
      </w:r>
    </w:p>
    <w:p w14:paraId="4618B244">
      <w:pPr>
        <w:keepNext w:val="0"/>
        <w:keepLines w:val="0"/>
        <w:pageBreakBefore w:val="0"/>
        <w:widowControl w:val="0"/>
        <w:kinsoku/>
        <w:wordWrap/>
        <w:overflowPunct/>
        <w:topLinePunct w:val="0"/>
        <w:autoSpaceDE/>
        <w:autoSpaceDN/>
        <w:bidi w:val="0"/>
        <w:adjustRightInd/>
        <w:snapToGrid/>
        <w:spacing w:line="560" w:lineRule="exact"/>
        <w:ind w:firstLine="630" w:firstLineChars="210"/>
        <w:textAlignment w:val="auto"/>
        <w:rPr>
          <w:rFonts w:ascii="仿宋_GB2312" w:eastAsia="仿宋_GB2312"/>
          <w:sz w:val="30"/>
          <w:szCs w:val="30"/>
        </w:rPr>
      </w:pPr>
      <w:r>
        <w:rPr>
          <w:rFonts w:hint="eastAsia" w:ascii="仿宋_GB2312" w:eastAsia="仿宋_GB2312"/>
          <w:sz w:val="30"/>
          <w:szCs w:val="30"/>
        </w:rPr>
        <w:t>交货地点：淮北矿业股份有限公司下属各矿厂。</w:t>
      </w:r>
    </w:p>
    <w:p w14:paraId="1286E44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仿宋_GB2312" w:eastAsia="仿宋_GB2312"/>
          <w:sz w:val="32"/>
          <w:szCs w:val="32"/>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22"/>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Y0ODFhY2U2NzI2Y2Y2ODg5ZDgzZGI4MWRlZjMyZGEifQ=="/>
  </w:docVars>
  <w:rsids>
    <w:rsidRoot w:val="00F75156"/>
    <w:rsid w:val="00004C66"/>
    <w:rsid w:val="00007AA5"/>
    <w:rsid w:val="00017DE9"/>
    <w:rsid w:val="00033655"/>
    <w:rsid w:val="000378B8"/>
    <w:rsid w:val="00064BDA"/>
    <w:rsid w:val="00071E0B"/>
    <w:rsid w:val="0007227E"/>
    <w:rsid w:val="0007569F"/>
    <w:rsid w:val="0008266D"/>
    <w:rsid w:val="00083C9C"/>
    <w:rsid w:val="00090550"/>
    <w:rsid w:val="00093626"/>
    <w:rsid w:val="000B1360"/>
    <w:rsid w:val="000B3A58"/>
    <w:rsid w:val="000D0237"/>
    <w:rsid w:val="000D18AD"/>
    <w:rsid w:val="000D2855"/>
    <w:rsid w:val="000E088E"/>
    <w:rsid w:val="000E5260"/>
    <w:rsid w:val="000E5C3A"/>
    <w:rsid w:val="000E6DE1"/>
    <w:rsid w:val="000F08BA"/>
    <w:rsid w:val="000F2800"/>
    <w:rsid w:val="000F62ED"/>
    <w:rsid w:val="00101487"/>
    <w:rsid w:val="00113BA5"/>
    <w:rsid w:val="00122700"/>
    <w:rsid w:val="00135329"/>
    <w:rsid w:val="00157FFE"/>
    <w:rsid w:val="00167B84"/>
    <w:rsid w:val="001913D0"/>
    <w:rsid w:val="00191B8C"/>
    <w:rsid w:val="001A5027"/>
    <w:rsid w:val="001B0793"/>
    <w:rsid w:val="001B15A4"/>
    <w:rsid w:val="001D04F5"/>
    <w:rsid w:val="001D2AEF"/>
    <w:rsid w:val="001D2C3E"/>
    <w:rsid w:val="001D6AC2"/>
    <w:rsid w:val="001E2243"/>
    <w:rsid w:val="001E7C7C"/>
    <w:rsid w:val="001F45FC"/>
    <w:rsid w:val="0020523B"/>
    <w:rsid w:val="002074BB"/>
    <w:rsid w:val="002119D5"/>
    <w:rsid w:val="002159AD"/>
    <w:rsid w:val="00221DA9"/>
    <w:rsid w:val="00226125"/>
    <w:rsid w:val="0023331B"/>
    <w:rsid w:val="0024005E"/>
    <w:rsid w:val="00240E8C"/>
    <w:rsid w:val="002532FC"/>
    <w:rsid w:val="00254900"/>
    <w:rsid w:val="00260222"/>
    <w:rsid w:val="0027591E"/>
    <w:rsid w:val="00275BF9"/>
    <w:rsid w:val="002A072C"/>
    <w:rsid w:val="002A3378"/>
    <w:rsid w:val="002B05E5"/>
    <w:rsid w:val="002B6575"/>
    <w:rsid w:val="002C1421"/>
    <w:rsid w:val="002D0A7E"/>
    <w:rsid w:val="002D6786"/>
    <w:rsid w:val="002F1FAC"/>
    <w:rsid w:val="00332F94"/>
    <w:rsid w:val="00336D64"/>
    <w:rsid w:val="003406D0"/>
    <w:rsid w:val="0034356C"/>
    <w:rsid w:val="00346662"/>
    <w:rsid w:val="003613A9"/>
    <w:rsid w:val="00362AEF"/>
    <w:rsid w:val="003734FB"/>
    <w:rsid w:val="003803B3"/>
    <w:rsid w:val="00384D13"/>
    <w:rsid w:val="00395713"/>
    <w:rsid w:val="003A339E"/>
    <w:rsid w:val="003A48C2"/>
    <w:rsid w:val="003A76A4"/>
    <w:rsid w:val="003C28B9"/>
    <w:rsid w:val="003C5FCA"/>
    <w:rsid w:val="003C6D28"/>
    <w:rsid w:val="003E0B40"/>
    <w:rsid w:val="00406DA0"/>
    <w:rsid w:val="004123BE"/>
    <w:rsid w:val="004134AF"/>
    <w:rsid w:val="00423841"/>
    <w:rsid w:val="00426011"/>
    <w:rsid w:val="0044191B"/>
    <w:rsid w:val="00476583"/>
    <w:rsid w:val="00490C30"/>
    <w:rsid w:val="004952FD"/>
    <w:rsid w:val="004A06C9"/>
    <w:rsid w:val="004A0A13"/>
    <w:rsid w:val="004A5BFC"/>
    <w:rsid w:val="004B2AC1"/>
    <w:rsid w:val="004C443D"/>
    <w:rsid w:val="004E3CF9"/>
    <w:rsid w:val="004E6B1D"/>
    <w:rsid w:val="004F2C62"/>
    <w:rsid w:val="004F392A"/>
    <w:rsid w:val="004F649D"/>
    <w:rsid w:val="005023AC"/>
    <w:rsid w:val="0050700D"/>
    <w:rsid w:val="00515598"/>
    <w:rsid w:val="005277A6"/>
    <w:rsid w:val="0053090A"/>
    <w:rsid w:val="005348B5"/>
    <w:rsid w:val="00536429"/>
    <w:rsid w:val="00546BF6"/>
    <w:rsid w:val="00566EA5"/>
    <w:rsid w:val="00575D48"/>
    <w:rsid w:val="00584ACB"/>
    <w:rsid w:val="00587C83"/>
    <w:rsid w:val="005A0FB6"/>
    <w:rsid w:val="005A142C"/>
    <w:rsid w:val="005B468E"/>
    <w:rsid w:val="005B4901"/>
    <w:rsid w:val="005D0AA1"/>
    <w:rsid w:val="005F1002"/>
    <w:rsid w:val="00610B9E"/>
    <w:rsid w:val="00614A9B"/>
    <w:rsid w:val="0062208D"/>
    <w:rsid w:val="00660DE6"/>
    <w:rsid w:val="006957AA"/>
    <w:rsid w:val="006A71B4"/>
    <w:rsid w:val="006B546E"/>
    <w:rsid w:val="006B6CC1"/>
    <w:rsid w:val="006C5001"/>
    <w:rsid w:val="006F65F0"/>
    <w:rsid w:val="00703F96"/>
    <w:rsid w:val="007101E6"/>
    <w:rsid w:val="00717774"/>
    <w:rsid w:val="00720959"/>
    <w:rsid w:val="00724134"/>
    <w:rsid w:val="00731FA1"/>
    <w:rsid w:val="007414DC"/>
    <w:rsid w:val="007603FF"/>
    <w:rsid w:val="007636ED"/>
    <w:rsid w:val="0076467C"/>
    <w:rsid w:val="0076707F"/>
    <w:rsid w:val="00780880"/>
    <w:rsid w:val="00784E28"/>
    <w:rsid w:val="007C2664"/>
    <w:rsid w:val="007C68CC"/>
    <w:rsid w:val="007C7BB1"/>
    <w:rsid w:val="007D1F50"/>
    <w:rsid w:val="007E580C"/>
    <w:rsid w:val="007E7787"/>
    <w:rsid w:val="0082423C"/>
    <w:rsid w:val="008323B9"/>
    <w:rsid w:val="0083577D"/>
    <w:rsid w:val="00850BD1"/>
    <w:rsid w:val="008563DA"/>
    <w:rsid w:val="0087004F"/>
    <w:rsid w:val="008A0315"/>
    <w:rsid w:val="008A323B"/>
    <w:rsid w:val="008C29C9"/>
    <w:rsid w:val="008D213A"/>
    <w:rsid w:val="008D5BAF"/>
    <w:rsid w:val="008E0751"/>
    <w:rsid w:val="008E61EA"/>
    <w:rsid w:val="008F1664"/>
    <w:rsid w:val="00900324"/>
    <w:rsid w:val="009009D3"/>
    <w:rsid w:val="00925A85"/>
    <w:rsid w:val="00931F40"/>
    <w:rsid w:val="00937CF4"/>
    <w:rsid w:val="009462C6"/>
    <w:rsid w:val="00961953"/>
    <w:rsid w:val="00961E8D"/>
    <w:rsid w:val="009675AB"/>
    <w:rsid w:val="0097652E"/>
    <w:rsid w:val="00977137"/>
    <w:rsid w:val="00983C06"/>
    <w:rsid w:val="00986B86"/>
    <w:rsid w:val="0099280D"/>
    <w:rsid w:val="00993100"/>
    <w:rsid w:val="00993F4B"/>
    <w:rsid w:val="009A05E8"/>
    <w:rsid w:val="009A0690"/>
    <w:rsid w:val="009A5E48"/>
    <w:rsid w:val="009A75F3"/>
    <w:rsid w:val="009A7E2E"/>
    <w:rsid w:val="009C2A48"/>
    <w:rsid w:val="009C7388"/>
    <w:rsid w:val="009D189F"/>
    <w:rsid w:val="009D5CF0"/>
    <w:rsid w:val="00A26D7C"/>
    <w:rsid w:val="00A328A9"/>
    <w:rsid w:val="00A356D0"/>
    <w:rsid w:val="00A4409D"/>
    <w:rsid w:val="00A4652C"/>
    <w:rsid w:val="00A57BD1"/>
    <w:rsid w:val="00A60918"/>
    <w:rsid w:val="00A6256C"/>
    <w:rsid w:val="00A64E3F"/>
    <w:rsid w:val="00A7002E"/>
    <w:rsid w:val="00A83DEA"/>
    <w:rsid w:val="00A97C6C"/>
    <w:rsid w:val="00AA20CA"/>
    <w:rsid w:val="00AA3DAE"/>
    <w:rsid w:val="00AB22A6"/>
    <w:rsid w:val="00AC7C13"/>
    <w:rsid w:val="00AD013A"/>
    <w:rsid w:val="00AF6443"/>
    <w:rsid w:val="00AF743F"/>
    <w:rsid w:val="00B078B8"/>
    <w:rsid w:val="00B16F60"/>
    <w:rsid w:val="00B2160E"/>
    <w:rsid w:val="00B535F6"/>
    <w:rsid w:val="00B63619"/>
    <w:rsid w:val="00B63B01"/>
    <w:rsid w:val="00B66F71"/>
    <w:rsid w:val="00B85113"/>
    <w:rsid w:val="00B900D8"/>
    <w:rsid w:val="00B92CA6"/>
    <w:rsid w:val="00B94CB4"/>
    <w:rsid w:val="00B94D37"/>
    <w:rsid w:val="00B9520D"/>
    <w:rsid w:val="00BA44CA"/>
    <w:rsid w:val="00BB2C58"/>
    <w:rsid w:val="00BB6FD3"/>
    <w:rsid w:val="00BC5B75"/>
    <w:rsid w:val="00BD0F63"/>
    <w:rsid w:val="00BE6BE0"/>
    <w:rsid w:val="00C00039"/>
    <w:rsid w:val="00C12448"/>
    <w:rsid w:val="00C12B9D"/>
    <w:rsid w:val="00C13972"/>
    <w:rsid w:val="00C3175E"/>
    <w:rsid w:val="00C43CDE"/>
    <w:rsid w:val="00C50325"/>
    <w:rsid w:val="00C57B69"/>
    <w:rsid w:val="00C7642B"/>
    <w:rsid w:val="00C912EA"/>
    <w:rsid w:val="00C94970"/>
    <w:rsid w:val="00CA2458"/>
    <w:rsid w:val="00CA2FAD"/>
    <w:rsid w:val="00CA7DCF"/>
    <w:rsid w:val="00CB1338"/>
    <w:rsid w:val="00CB1EC2"/>
    <w:rsid w:val="00CB28E6"/>
    <w:rsid w:val="00CB2DDC"/>
    <w:rsid w:val="00CC403C"/>
    <w:rsid w:val="00CC41F9"/>
    <w:rsid w:val="00CD7718"/>
    <w:rsid w:val="00D04CE9"/>
    <w:rsid w:val="00D04E21"/>
    <w:rsid w:val="00D17927"/>
    <w:rsid w:val="00D20B49"/>
    <w:rsid w:val="00D81CE5"/>
    <w:rsid w:val="00D83E47"/>
    <w:rsid w:val="00D86404"/>
    <w:rsid w:val="00D86DF3"/>
    <w:rsid w:val="00D8746D"/>
    <w:rsid w:val="00DB089E"/>
    <w:rsid w:val="00DB1793"/>
    <w:rsid w:val="00DB428D"/>
    <w:rsid w:val="00DB705F"/>
    <w:rsid w:val="00DF0180"/>
    <w:rsid w:val="00DF0C97"/>
    <w:rsid w:val="00E0552F"/>
    <w:rsid w:val="00E21FCB"/>
    <w:rsid w:val="00E23929"/>
    <w:rsid w:val="00E41B0D"/>
    <w:rsid w:val="00E436CF"/>
    <w:rsid w:val="00E54537"/>
    <w:rsid w:val="00E676DF"/>
    <w:rsid w:val="00E75BF0"/>
    <w:rsid w:val="00E80D85"/>
    <w:rsid w:val="00E82226"/>
    <w:rsid w:val="00E844B2"/>
    <w:rsid w:val="00E879C6"/>
    <w:rsid w:val="00E96D62"/>
    <w:rsid w:val="00EA03E6"/>
    <w:rsid w:val="00EA5334"/>
    <w:rsid w:val="00EA6BBB"/>
    <w:rsid w:val="00EB27FE"/>
    <w:rsid w:val="00EC6163"/>
    <w:rsid w:val="00ED03A9"/>
    <w:rsid w:val="00ED2281"/>
    <w:rsid w:val="00EF161D"/>
    <w:rsid w:val="00F14CAD"/>
    <w:rsid w:val="00F75156"/>
    <w:rsid w:val="00F8203D"/>
    <w:rsid w:val="00F8658E"/>
    <w:rsid w:val="00F86D2A"/>
    <w:rsid w:val="00F93CE2"/>
    <w:rsid w:val="00F96EDC"/>
    <w:rsid w:val="00FA3C93"/>
    <w:rsid w:val="00FC61DB"/>
    <w:rsid w:val="00FC794E"/>
    <w:rsid w:val="00FD7E90"/>
    <w:rsid w:val="00FE174A"/>
    <w:rsid w:val="00FF5CB7"/>
    <w:rsid w:val="03393105"/>
    <w:rsid w:val="03EE6A3B"/>
    <w:rsid w:val="05251C77"/>
    <w:rsid w:val="0730481F"/>
    <w:rsid w:val="08F37054"/>
    <w:rsid w:val="0BC003C7"/>
    <w:rsid w:val="0F4B48EC"/>
    <w:rsid w:val="116C0B49"/>
    <w:rsid w:val="1AA5266A"/>
    <w:rsid w:val="209F1201"/>
    <w:rsid w:val="214F3C6E"/>
    <w:rsid w:val="218D2B42"/>
    <w:rsid w:val="23BA2327"/>
    <w:rsid w:val="25FE0604"/>
    <w:rsid w:val="28515767"/>
    <w:rsid w:val="2BC453B2"/>
    <w:rsid w:val="2C332538"/>
    <w:rsid w:val="2D0D5881"/>
    <w:rsid w:val="2FC14F62"/>
    <w:rsid w:val="2FC72826"/>
    <w:rsid w:val="316A07AA"/>
    <w:rsid w:val="345D3A7F"/>
    <w:rsid w:val="364A4AA2"/>
    <w:rsid w:val="37377380"/>
    <w:rsid w:val="37D961E7"/>
    <w:rsid w:val="3C6222CD"/>
    <w:rsid w:val="3DC76F84"/>
    <w:rsid w:val="418B3F42"/>
    <w:rsid w:val="419665EA"/>
    <w:rsid w:val="42C459E3"/>
    <w:rsid w:val="4622744D"/>
    <w:rsid w:val="46535859"/>
    <w:rsid w:val="47EF5551"/>
    <w:rsid w:val="483C0AFD"/>
    <w:rsid w:val="4A2A787F"/>
    <w:rsid w:val="4ADA20A4"/>
    <w:rsid w:val="4B8003CB"/>
    <w:rsid w:val="4B9A17E8"/>
    <w:rsid w:val="4EE5726A"/>
    <w:rsid w:val="504C3932"/>
    <w:rsid w:val="50E33C7D"/>
    <w:rsid w:val="55E54B04"/>
    <w:rsid w:val="57E74053"/>
    <w:rsid w:val="60634492"/>
    <w:rsid w:val="64C9520C"/>
    <w:rsid w:val="65F270B9"/>
    <w:rsid w:val="69D552D7"/>
    <w:rsid w:val="6B601CFA"/>
    <w:rsid w:val="6E5D69C5"/>
    <w:rsid w:val="6FE04127"/>
    <w:rsid w:val="706B2BA1"/>
    <w:rsid w:val="72D4551B"/>
    <w:rsid w:val="74253A54"/>
    <w:rsid w:val="756920F3"/>
    <w:rsid w:val="75EA4FE2"/>
    <w:rsid w:val="793632ED"/>
    <w:rsid w:val="7B01012E"/>
    <w:rsid w:val="7E9B6717"/>
    <w:rsid w:val="7ED73ABA"/>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21"/>
    <w:qFormat/>
    <w:locked/>
    <w:uiPriority w:val="9"/>
    <w:pPr>
      <w:widowControl/>
      <w:spacing w:before="100" w:beforeAutospacing="1" w:after="100" w:afterAutospacing="1"/>
      <w:jc w:val="left"/>
      <w:outlineLvl w:val="0"/>
    </w:pPr>
    <w:rPr>
      <w:rFonts w:ascii="宋体" w:hAnsi="宋体" w:cs="Times New Roman"/>
      <w:b/>
      <w:bCs/>
      <w:kern w:val="36"/>
      <w:sz w:val="48"/>
      <w:szCs w:val="48"/>
    </w:rPr>
  </w:style>
  <w:style w:type="paragraph" w:styleId="3">
    <w:name w:val="heading 2"/>
    <w:basedOn w:val="1"/>
    <w:next w:val="1"/>
    <w:link w:val="23"/>
    <w:unhideWhenUsed/>
    <w:qFormat/>
    <w:locked/>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Body Text"/>
    <w:basedOn w:val="1"/>
    <w:link w:val="20"/>
    <w:autoRedefine/>
    <w:semiHidden/>
    <w:unhideWhenUsed/>
    <w:qFormat/>
    <w:uiPriority w:val="99"/>
    <w:pPr>
      <w:spacing w:after="120"/>
    </w:pPr>
  </w:style>
  <w:style w:type="paragraph" w:styleId="5">
    <w:name w:val="Body Text Indent"/>
    <w:basedOn w:val="1"/>
    <w:link w:val="17"/>
    <w:autoRedefine/>
    <w:qFormat/>
    <w:uiPriority w:val="99"/>
    <w:pPr>
      <w:spacing w:after="120"/>
      <w:ind w:left="420" w:leftChars="200"/>
    </w:pPr>
  </w:style>
  <w:style w:type="paragraph" w:styleId="6">
    <w:name w:val="Balloon Text"/>
    <w:basedOn w:val="1"/>
    <w:link w:val="24"/>
    <w:autoRedefine/>
    <w:semiHidden/>
    <w:unhideWhenUsed/>
    <w:qFormat/>
    <w:uiPriority w:val="99"/>
    <w:rPr>
      <w:sz w:val="18"/>
      <w:szCs w:val="18"/>
    </w:rPr>
  </w:style>
  <w:style w:type="paragraph" w:styleId="7">
    <w:name w:val="footer"/>
    <w:basedOn w:val="1"/>
    <w:link w:val="15"/>
    <w:autoRedefine/>
    <w:qFormat/>
    <w:uiPriority w:val="99"/>
    <w:pPr>
      <w:tabs>
        <w:tab w:val="center" w:pos="4153"/>
        <w:tab w:val="right" w:pos="8306"/>
      </w:tabs>
      <w:snapToGrid w:val="0"/>
      <w:jc w:val="left"/>
    </w:pPr>
    <w:rPr>
      <w:sz w:val="18"/>
      <w:szCs w:val="18"/>
    </w:rPr>
  </w:style>
  <w:style w:type="paragraph" w:styleId="8">
    <w:name w:val="header"/>
    <w:basedOn w:val="1"/>
    <w:link w:val="14"/>
    <w:autoRedefine/>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5"/>
    <w:link w:val="19"/>
    <w:autoRedefine/>
    <w:qFormat/>
    <w:uiPriority w:val="99"/>
    <w:pPr>
      <w:ind w:firstLine="420" w:firstLineChars="200"/>
    </w:pPr>
    <w:rPr>
      <w:rFonts w:ascii="Times New Roman" w:hAnsi="Times New Roman" w:cs="Times New Roman"/>
    </w:rPr>
  </w:style>
  <w:style w:type="table" w:styleId="11">
    <w:name w:val="Table Grid"/>
    <w:basedOn w:val="10"/>
    <w:autoRedefine/>
    <w:qFormat/>
    <w:locked/>
    <w:uiPriority w:val="0"/>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4">
    <w:name w:val="页眉 Char"/>
    <w:link w:val="8"/>
    <w:autoRedefine/>
    <w:qFormat/>
    <w:locked/>
    <w:uiPriority w:val="99"/>
    <w:rPr>
      <w:sz w:val="18"/>
      <w:szCs w:val="18"/>
    </w:rPr>
  </w:style>
  <w:style w:type="character" w:customStyle="1" w:styleId="15">
    <w:name w:val="页脚 Char"/>
    <w:link w:val="7"/>
    <w:autoRedefine/>
    <w:qFormat/>
    <w:locked/>
    <w:uiPriority w:val="99"/>
    <w:rPr>
      <w:sz w:val="18"/>
      <w:szCs w:val="18"/>
    </w:rPr>
  </w:style>
  <w:style w:type="paragraph" w:styleId="16">
    <w:name w:val="List Paragraph"/>
    <w:basedOn w:val="1"/>
    <w:autoRedefine/>
    <w:qFormat/>
    <w:uiPriority w:val="99"/>
    <w:pPr>
      <w:ind w:firstLine="420" w:firstLineChars="200"/>
    </w:pPr>
  </w:style>
  <w:style w:type="character" w:customStyle="1" w:styleId="17">
    <w:name w:val="正文文本缩进 Char"/>
    <w:link w:val="5"/>
    <w:autoRedefine/>
    <w:semiHidden/>
    <w:qFormat/>
    <w:locked/>
    <w:uiPriority w:val="99"/>
    <w:rPr>
      <w:sz w:val="21"/>
      <w:szCs w:val="21"/>
    </w:rPr>
  </w:style>
  <w:style w:type="character" w:customStyle="1" w:styleId="18">
    <w:name w:val="Body Text First Indent 2 Char"/>
    <w:autoRedefine/>
    <w:semiHidden/>
    <w:qFormat/>
    <w:locked/>
    <w:uiPriority w:val="99"/>
    <w:rPr>
      <w:sz w:val="21"/>
      <w:szCs w:val="21"/>
    </w:rPr>
  </w:style>
  <w:style w:type="character" w:customStyle="1" w:styleId="19">
    <w:name w:val="正文首行缩进 2 Char"/>
    <w:link w:val="9"/>
    <w:autoRedefine/>
    <w:qFormat/>
    <w:locked/>
    <w:uiPriority w:val="99"/>
    <w:rPr>
      <w:rFonts w:eastAsia="宋体"/>
      <w:kern w:val="2"/>
      <w:sz w:val="24"/>
      <w:szCs w:val="24"/>
    </w:rPr>
  </w:style>
  <w:style w:type="character" w:customStyle="1" w:styleId="20">
    <w:name w:val="正文文本 Char"/>
    <w:basedOn w:val="12"/>
    <w:link w:val="4"/>
    <w:autoRedefine/>
    <w:semiHidden/>
    <w:qFormat/>
    <w:uiPriority w:val="99"/>
    <w:rPr>
      <w:rFonts w:cs="Calibri"/>
      <w:kern w:val="2"/>
      <w:sz w:val="21"/>
      <w:szCs w:val="21"/>
    </w:rPr>
  </w:style>
  <w:style w:type="character" w:customStyle="1" w:styleId="21">
    <w:name w:val="标题 1 Char"/>
    <w:basedOn w:val="12"/>
    <w:link w:val="2"/>
    <w:autoRedefine/>
    <w:qFormat/>
    <w:uiPriority w:val="9"/>
    <w:rPr>
      <w:rFonts w:ascii="宋体" w:hAnsi="宋体"/>
      <w:b/>
      <w:bCs/>
      <w:kern w:val="36"/>
      <w:sz w:val="48"/>
      <w:szCs w:val="48"/>
    </w:rPr>
  </w:style>
  <w:style w:type="paragraph" w:customStyle="1" w:styleId="22">
    <w:name w:val="章标题"/>
    <w:next w:val="1"/>
    <w:autoRedefine/>
    <w:qFormat/>
    <w:uiPriority w:val="0"/>
    <w:pPr>
      <w:numPr>
        <w:ilvl w:val="1"/>
        <w:numId w:val="1"/>
      </w:numPr>
      <w:spacing w:beforeLines="50" w:afterLines="50"/>
      <w:ind w:left="1266" w:hanging="420"/>
      <w:jc w:val="both"/>
      <w:outlineLvl w:val="1"/>
    </w:pPr>
    <w:rPr>
      <w:rFonts w:ascii="黑体" w:hAnsi="Calibri" w:eastAsia="黑体" w:cs="Times New Roman"/>
      <w:sz w:val="21"/>
      <w:szCs w:val="22"/>
      <w:lang w:val="en-US" w:eastAsia="zh-CN" w:bidi="ar-SA"/>
    </w:rPr>
  </w:style>
  <w:style w:type="character" w:customStyle="1" w:styleId="23">
    <w:name w:val="标题 2 Char"/>
    <w:basedOn w:val="12"/>
    <w:link w:val="3"/>
    <w:autoRedefine/>
    <w:qFormat/>
    <w:uiPriority w:val="0"/>
    <w:rPr>
      <w:rFonts w:asciiTheme="majorHAnsi" w:hAnsiTheme="majorHAnsi" w:eastAsiaTheme="majorEastAsia" w:cstheme="majorBidi"/>
      <w:b/>
      <w:bCs/>
      <w:kern w:val="2"/>
      <w:sz w:val="32"/>
      <w:szCs w:val="32"/>
    </w:rPr>
  </w:style>
  <w:style w:type="character" w:customStyle="1" w:styleId="24">
    <w:name w:val="批注框文本 Char"/>
    <w:basedOn w:val="12"/>
    <w:link w:val="6"/>
    <w:autoRedefine/>
    <w:semiHidden/>
    <w:qFormat/>
    <w:uiPriority w:val="99"/>
    <w:rPr>
      <w:rFonts w:cs="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3</Pages>
  <Words>938</Words>
  <Characters>1086</Characters>
  <Lines>2</Lines>
  <Paragraphs>2</Paragraphs>
  <TotalTime>2</TotalTime>
  <ScaleCrop>false</ScaleCrop>
  <LinksUpToDate>false</LinksUpToDate>
  <CharactersWithSpaces>1134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2022-05-11T06:15:00Z</dcterms:created>
  <dc:creator>杜国强</dc:creator>
  <cp:lastModifiedBy>WPS_193725037</cp:lastModifiedBy>
  <cp:lastPrinted>2025-04-10T02:02:00Z</cp:lastPrinted>
  <dcterms:modified xsi:type="dcterms:W3CDTF">2026-06-02T08:47:00Z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7D6E3EC3D97C4E6AA0B683E2447BA584</vt:lpwstr>
  </property>
  <property fmtid="{D5CDD505-2E9C-101B-9397-08002B2CF9AE}" pid="4" name="KSOTemplateDocerSaveRecord">
    <vt:lpwstr>eyJoZGlkIjoiNzgzMWY1Zjk5NmEwYzU2NzMwOTViY2Q4NzJlNThmNjEiLCJ1c2VySWQiOiIxOTM3MjUwMzcifQ==</vt:lpwstr>
  </property>
</Properties>
</file>